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Edesa Biotech,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08/20/2026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Stonepine Capital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953,739.00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953,739.00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953,739.00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securities beneficially owned by the reporting persons consist of (1) 703,739 shares of Common Shares and (2) warrants to acquire 250,000 shares of Common Stock, subject to a 9.99% beneficial ownership limitation. The percentage reported herein is calculated based on 13,503,723 shares of Common Shares outstanding immediately after the offering, as reported in the prospectus filed by the Issuer on August 20,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Stonepine Capital,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953,739.00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953,739.00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953,739.00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securities beneficially owned by the reporting persons consist of (1) 703,739 shares of Common Shares and (2) warrants to acquire 250,000 shares of Common Stock, subject to a 9.99% beneficial ownership limitation. The percentage reported herein is calculated based on 13,503,723 shares of Common Shares outstanding immediately after the offering, as reported in the prospectus filed by the Issuer on August 20,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Stonepine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953,739.00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953,739.00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953,739.00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securities beneficially owned by the reporting persons consist of (1) 703,739 shares of Common Shares and (2) warrants to acquire 250,000 shares of Common Stock, subject to a 9.99% beneficial ownership limitation. The percentage reported herein is calculated based on 13,503,723 shares of Common Shares outstanding immediately after the offering, as reported in the prospectus filed by the Issuer on August 20,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Jon M. Plexico</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953,739.00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953,739.00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953,739.00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securities beneficially owned by the reporting persons consist of (1) 703,739 shares of Common Shares and (2) warrants to acquire 250,000 shares of Common Stock, subject to a 9.99% beneficial ownership limitation. The percentage reported herein is calculated based on 13,503,723 shares of Common Shares outstanding immediately after the offering, as reported in the prospectus filed by the Issuer on August 20,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48"/>
        <w:gridCol w:w="8902"/>
        <w:gridCol w:w="155"/>
      </w:tblGrid>
      <w:tr>
        <w:trPr/>
        <w:tc>
          <w:tcPr>
            <w:tcW w:w="1148" w:type="dxa"/>
            <w:tcBorders/>
            <w:vAlign w:val="center"/>
          </w:tcPr>
          <w:p>
            <w:pPr>
              <w:pStyle w:val="TableContents"/>
              <w:bidi w:val="0"/>
              <w:spacing w:before="0" w:after="283"/>
              <w:jc w:val="left"/>
              <w:rPr/>
            </w:pPr>
            <w:r>
              <w:rPr/>
              <w:t>Item 1.</w:t>
            </w:r>
          </w:p>
        </w:tc>
        <w:tc>
          <w:tcPr>
            <w:tcW w:w="890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Name of issuer: </w:t>
            </w:r>
          </w:p>
          <w:p>
            <w:pPr>
              <w:pStyle w:val="TableContents"/>
              <w:bidi w:val="0"/>
              <w:spacing w:before="0" w:after="0"/>
              <w:jc w:val="left"/>
              <w:rPr/>
            </w:pPr>
            <w:r>
              <w:rPr/>
              <w:t>Edesa Biotech, Inc.</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Spy Court, Markham, ON, Canada L3R 5H6</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2.</w:t>
            </w:r>
          </w:p>
        </w:tc>
        <w:tc>
          <w:tcPr>
            <w:tcW w:w="890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Stonepine Capital Management, LLC, a Delaware limited liability company ("Stonepine") Stonepine Capital, LP, a Delaware limited partnership (the "Partnership") Stonepine GP, LLC, a Delaware limited liability company (the "General Partner") Jon M. Plexico Stonepine and the General Partner are the investment adviser and general partner, respectively, of the Partnership. Mr. Plexico is the control person of Stonepine and the General Partner. The reporting persons are filing this Schedule 13G jointly, but not as members of a group, and each disclaims membership in a group. Each reporting person also disclaims beneficial ownership of shares of Common Shares except to the extent of that person's pecuniary interest therein. In addition, the filing of this Schedule 13G on behalf of the Partnership should not be construed as an admission that it is, and it disclaims that it is, a beneficial owner, as defined in Rule 13d-3 under the Act, of any shares of Common Shares covered by this Schedule 13G.</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2900 NW Clearwater Drive, Suite 100-11, Bend OR 97703</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the cover sheet for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3.</w:t>
            </w:r>
          </w:p>
        </w:tc>
        <w:tc>
          <w:tcPr>
            <w:tcW w:w="890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(f)</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(g)</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(h)</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(j)</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(k)</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9057" w:type="dxa"/>
            <w:gridSpan w:val="2"/>
            <w:tcBorders/>
            <w:vAlign w:val="center"/>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4.</w:t>
            </w:r>
          </w:p>
        </w:tc>
        <w:tc>
          <w:tcPr>
            <w:tcW w:w="890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Stonepine: 953,739 Partnership: 953,739 General Partner: 953,739 Jon M. Plexico: 953,739</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Stonepine: 6.9% Partnership: 6.9% General Partner: 6.9% Jon M. Plexico: 6.9%  %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Stonepine: 0 Partnership: 0 General Partner: 0 Jon M. Plexico: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Stonepine: 953,739 Partnership: 953,739 General Partner: 953,739 Jon M. Plexico: 953,739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Stonepine: 0 Partnership: 0 General Partner: 0 Jon M. Plexico: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Stonepine: 953,739 Partnership: 953,739 General Partner: 953,739 Jon M. Plexico: 953,739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5.</w:t>
            </w:r>
          </w:p>
        </w:tc>
        <w:tc>
          <w:tcPr>
            <w:tcW w:w="890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6.</w:t>
            </w:r>
          </w:p>
        </w:tc>
        <w:tc>
          <w:tcPr>
            <w:tcW w:w="890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Partnership holds Common Stock for the benefit of its investors and has the right to receive or the power to direct the receipt of dividends from, or the proceeds from the sale of, Common Stock.</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7.</w:t>
            </w:r>
          </w:p>
        </w:tc>
        <w:tc>
          <w:tcPr>
            <w:tcW w:w="890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8.</w:t>
            </w:r>
          </w:p>
        </w:tc>
        <w:tc>
          <w:tcPr>
            <w:tcW w:w="890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9.</w:t>
            </w:r>
          </w:p>
        </w:tc>
        <w:tc>
          <w:tcPr>
            <w:tcW w:w="890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46" w:type="dxa"/>
        <w:jc w:val="left"/>
        <w:tblInd w:w="0" w:type="dxa"/>
        <w:tblLayout w:type="fixed"/>
        <w:tblCellMar>
          <w:top w:w="28" w:type="dxa"/>
          <w:left w:w="28" w:type="dxa"/>
          <w:bottom w:w="28" w:type="dxa"/>
          <w:right w:w="28" w:type="dxa"/>
        </w:tblCellMar>
      </w:tblPr>
      <w:tblGrid>
        <w:gridCol w:w="3823"/>
        <w:gridCol w:w="3823"/>
      </w:tblGrid>
      <w:tr>
        <w:trPr/>
        <w:tc>
          <w:tcPr>
            <w:tcW w:w="3823" w:type="dxa"/>
            <w:tcBorders/>
            <w:vAlign w:val="center"/>
          </w:tcPr>
          <w:p>
            <w:pPr>
              <w:pStyle w:val="TableContents"/>
              <w:bidi w:val="0"/>
              <w:spacing w:before="0" w:after="0"/>
              <w:jc w:val="left"/>
              <w:rPr/>
            </w:pPr>
            <w:r>
              <w:rPr/>
              <w:t> </w:t>
            </w:r>
          </w:p>
          <w:tbl>
            <w:tblPr>
              <w:tblW w:w="3721" w:type="dxa"/>
              <w:jc w:val="left"/>
              <w:tblInd w:w="0" w:type="dxa"/>
              <w:tblLayout w:type="fixed"/>
              <w:tblCellMar>
                <w:top w:w="28" w:type="dxa"/>
                <w:left w:w="28" w:type="dxa"/>
                <w:bottom w:w="28" w:type="dxa"/>
                <w:right w:w="28" w:type="dxa"/>
              </w:tblCellMar>
            </w:tblPr>
            <w:tblGrid>
              <w:gridCol w:w="3721"/>
            </w:tblGrid>
            <w:tr>
              <w:trPr/>
              <w:tc>
                <w:tcPr>
                  <w:tcW w:w="3721" w:type="dxa"/>
                  <w:tcBorders/>
                  <w:vAlign w:val="center"/>
                </w:tcPr>
                <w:p>
                  <w:pPr>
                    <w:pStyle w:val="TableContents"/>
                    <w:bidi w:val="0"/>
                    <w:spacing w:before="0" w:after="0"/>
                    <w:jc w:val="left"/>
                    <w:rPr/>
                  </w:pPr>
                  <w:r>
                    <w:rPr/>
                    <w:t>Stonepine Capital Management, LLC</w:t>
                  </w:r>
                </w:p>
              </w:tc>
            </w:tr>
          </w:tbl>
          <w:p>
            <w:pPr>
              <w:pStyle w:val="TableContents"/>
              <w:bidi w:val="0"/>
              <w:spacing w:before="0" w:after="283"/>
              <w:jc w:val="left"/>
              <w:rPr/>
            </w:pPr>
            <w:r>
              <w:rPr/>
            </w:r>
          </w:p>
        </w:tc>
        <w:tc>
          <w:tcPr>
            <w:tcW w:w="38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Jon M. Plexico</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08/26/2026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4954" w:type="dxa"/>
        <w:jc w:val="left"/>
        <w:tblInd w:w="0" w:type="dxa"/>
        <w:tblLayout w:type="fixed"/>
        <w:tblCellMar>
          <w:top w:w="28" w:type="dxa"/>
          <w:left w:w="28" w:type="dxa"/>
          <w:bottom w:w="28" w:type="dxa"/>
          <w:right w:w="28" w:type="dxa"/>
        </w:tblCellMar>
      </w:tblPr>
      <w:tblGrid>
        <w:gridCol w:w="2477"/>
        <w:gridCol w:w="2477"/>
      </w:tblGrid>
      <w:tr>
        <w:trPr/>
        <w:tc>
          <w:tcPr>
            <w:tcW w:w="2477" w:type="dxa"/>
            <w:tcBorders/>
            <w:vAlign w:val="center"/>
          </w:tcPr>
          <w:p>
            <w:pPr>
              <w:pStyle w:val="TableContents"/>
              <w:bidi w:val="0"/>
              <w:spacing w:before="0" w:after="0"/>
              <w:jc w:val="left"/>
              <w:rPr/>
            </w:pPr>
            <w:r>
              <w:rPr/>
              <w:t> </w:t>
            </w:r>
          </w:p>
          <w:tbl>
            <w:tblPr>
              <w:tblW w:w="2371" w:type="dxa"/>
              <w:jc w:val="left"/>
              <w:tblInd w:w="0" w:type="dxa"/>
              <w:tblLayout w:type="fixed"/>
              <w:tblCellMar>
                <w:top w:w="28" w:type="dxa"/>
                <w:left w:w="28" w:type="dxa"/>
                <w:bottom w:w="28" w:type="dxa"/>
                <w:right w:w="28" w:type="dxa"/>
              </w:tblCellMar>
            </w:tblPr>
            <w:tblGrid>
              <w:gridCol w:w="2371"/>
            </w:tblGrid>
            <w:tr>
              <w:trPr/>
              <w:tc>
                <w:tcPr>
                  <w:tcW w:w="2371" w:type="dxa"/>
                  <w:tcBorders/>
                  <w:vAlign w:val="center"/>
                </w:tcPr>
                <w:p>
                  <w:pPr>
                    <w:pStyle w:val="TableContents"/>
                    <w:bidi w:val="0"/>
                    <w:spacing w:before="0" w:after="0"/>
                    <w:jc w:val="left"/>
                    <w:rPr/>
                  </w:pPr>
                  <w:r>
                    <w:rPr/>
                    <w:t>Stonepine Capital, L.P.</w:t>
                  </w:r>
                </w:p>
              </w:tc>
            </w:tr>
          </w:tbl>
          <w:p>
            <w:pPr>
              <w:pStyle w:val="TableContents"/>
              <w:bidi w:val="0"/>
              <w:spacing w:before="0" w:after="283"/>
              <w:jc w:val="left"/>
              <w:rPr/>
            </w:pPr>
            <w:r>
              <w:rPr/>
            </w:r>
          </w:p>
        </w:tc>
        <w:tc>
          <w:tcPr>
            <w:tcW w:w="24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6"/>
        <w:gridCol w:w="4339"/>
      </w:tblGrid>
      <w:tr>
        <w:trPr/>
        <w:tc>
          <w:tcPr>
            <w:tcW w:w="586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Jon M. Plexico</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Managing Member of the General Partner, Stonepine GP, LLC</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08/26/2026</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4388" w:type="dxa"/>
        <w:jc w:val="left"/>
        <w:tblInd w:w="0" w:type="dxa"/>
        <w:tblLayout w:type="fixed"/>
        <w:tblCellMar>
          <w:top w:w="28" w:type="dxa"/>
          <w:left w:w="28" w:type="dxa"/>
          <w:bottom w:w="28" w:type="dxa"/>
          <w:right w:w="28" w:type="dxa"/>
        </w:tblCellMar>
      </w:tblPr>
      <w:tblGrid>
        <w:gridCol w:w="2194"/>
        <w:gridCol w:w="2194"/>
      </w:tblGrid>
      <w:tr>
        <w:trPr/>
        <w:tc>
          <w:tcPr>
            <w:tcW w:w="2194" w:type="dxa"/>
            <w:tcBorders/>
            <w:vAlign w:val="center"/>
          </w:tcPr>
          <w:p>
            <w:pPr>
              <w:pStyle w:val="TableContents"/>
              <w:bidi w:val="0"/>
              <w:spacing w:before="0" w:after="0"/>
              <w:jc w:val="left"/>
              <w:rPr/>
            </w:pPr>
            <w:r>
              <w:rPr/>
              <w:t> </w:t>
            </w:r>
          </w:p>
          <w:tbl>
            <w:tblPr>
              <w:tblW w:w="2071" w:type="dxa"/>
              <w:jc w:val="left"/>
              <w:tblInd w:w="0" w:type="dxa"/>
              <w:tblLayout w:type="fixed"/>
              <w:tblCellMar>
                <w:top w:w="28" w:type="dxa"/>
                <w:left w:w="28" w:type="dxa"/>
                <w:bottom w:w="28" w:type="dxa"/>
                <w:right w:w="28" w:type="dxa"/>
              </w:tblCellMar>
            </w:tblPr>
            <w:tblGrid>
              <w:gridCol w:w="2071"/>
            </w:tblGrid>
            <w:tr>
              <w:trPr/>
              <w:tc>
                <w:tcPr>
                  <w:tcW w:w="2071" w:type="dxa"/>
                  <w:tcBorders/>
                  <w:vAlign w:val="center"/>
                </w:tcPr>
                <w:p>
                  <w:pPr>
                    <w:pStyle w:val="TableContents"/>
                    <w:bidi w:val="0"/>
                    <w:spacing w:before="0" w:after="0"/>
                    <w:jc w:val="left"/>
                    <w:rPr/>
                  </w:pPr>
                  <w:r>
                    <w:rPr/>
                    <w:t>Stonepine GP, LLC</w:t>
                  </w:r>
                </w:p>
              </w:tc>
            </w:tr>
          </w:tbl>
          <w:p>
            <w:pPr>
              <w:pStyle w:val="TableContents"/>
              <w:bidi w:val="0"/>
              <w:spacing w:before="0" w:after="283"/>
              <w:jc w:val="left"/>
              <w:rPr/>
            </w:pPr>
            <w:r>
              <w:rPr/>
            </w:r>
          </w:p>
        </w:tc>
        <w:tc>
          <w:tcPr>
            <w:tcW w:w="21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Jon M. Plexico</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08/26/2026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3418" w:type="dxa"/>
        <w:jc w:val="left"/>
        <w:tblInd w:w="0" w:type="dxa"/>
        <w:tblLayout w:type="fixed"/>
        <w:tblCellMar>
          <w:top w:w="28" w:type="dxa"/>
          <w:left w:w="28" w:type="dxa"/>
          <w:bottom w:w="28" w:type="dxa"/>
          <w:right w:w="28" w:type="dxa"/>
        </w:tblCellMar>
      </w:tblPr>
      <w:tblGrid>
        <w:gridCol w:w="1709"/>
        <w:gridCol w:w="1709"/>
      </w:tblGrid>
      <w:tr>
        <w:trPr/>
        <w:tc>
          <w:tcPr>
            <w:tcW w:w="1709" w:type="dxa"/>
            <w:tcBorders/>
            <w:vAlign w:val="center"/>
          </w:tcPr>
          <w:p>
            <w:pPr>
              <w:pStyle w:val="TableContents"/>
              <w:bidi w:val="0"/>
              <w:spacing w:before="0" w:after="0"/>
              <w:jc w:val="left"/>
              <w:rPr/>
            </w:pPr>
            <w:r>
              <w:rPr/>
              <w:t> </w:t>
            </w:r>
          </w:p>
          <w:tbl>
            <w:tblPr>
              <w:tblW w:w="1591" w:type="dxa"/>
              <w:jc w:val="left"/>
              <w:tblInd w:w="0" w:type="dxa"/>
              <w:tblLayout w:type="fixed"/>
              <w:tblCellMar>
                <w:top w:w="28" w:type="dxa"/>
                <w:left w:w="28" w:type="dxa"/>
                <w:bottom w:w="28" w:type="dxa"/>
                <w:right w:w="28" w:type="dxa"/>
              </w:tblCellMar>
            </w:tblPr>
            <w:tblGrid>
              <w:gridCol w:w="1591"/>
            </w:tblGrid>
            <w:tr>
              <w:trPr/>
              <w:tc>
                <w:tcPr>
                  <w:tcW w:w="1591" w:type="dxa"/>
                  <w:tcBorders/>
                  <w:vAlign w:val="center"/>
                </w:tcPr>
                <w:p>
                  <w:pPr>
                    <w:pStyle w:val="TableContents"/>
                    <w:bidi w:val="0"/>
                    <w:spacing w:before="0" w:after="0"/>
                    <w:jc w:val="left"/>
                    <w:rPr/>
                  </w:pPr>
                  <w:r>
                    <w:rPr/>
                    <w:t>Jon M. Plexico</w:t>
                  </w:r>
                </w:p>
              </w:tc>
            </w:tr>
          </w:tbl>
          <w:p>
            <w:pPr>
              <w:pStyle w:val="TableContents"/>
              <w:bidi w:val="0"/>
              <w:spacing w:before="0" w:after="283"/>
              <w:jc w:val="left"/>
              <w:rPr/>
            </w:pPr>
            <w:r>
              <w:rPr/>
            </w:r>
          </w:p>
        </w:tc>
        <w:tc>
          <w:tcPr>
            <w:tcW w:w="17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Jon M. Plexico</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Reporting Person</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08/26/2026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99 - AGREEMENT REGARDING JOINT FILING OF STATEMENT ON SCHEDULE 13D OR 13G.</w:t>
            </w:r>
          </w:p>
        </w:tc>
      </w:tr>
    </w:tbl>
    <w:p>
      <w:pPr>
        <w:pStyle w:val="TextBody"/>
        <w:bidi w:val="0"/>
        <w:jc w:val="center"/>
        <w:rPr>
          <w:rFonts w:ascii="Times New Roman;Times;Serif" w:hAnsi="Times New Roman;Times;Serif"/>
          <w:b w:val="false"/>
          <w:i w:val="false"/>
          <w:caps w:val="false"/>
          <w:smallCaps w:val="false"/>
          <w:sz w:val="22"/>
        </w:rPr>
      </w:pPr>
      <w:bookmarkStart w:id="28" w:name="spex99.htm"/>
      <w:bookmarkStart w:id="29" w:name="ksspex99"/>
      <w:bookmarkEnd w:id="28"/>
      <w:bookmarkEnd w:id="29"/>
      <w:r>
        <w:rPr>
          <w:rFonts w:ascii="Times New Roman;Times;Serif" w:hAnsi="Times New Roman;Times;Serif"/>
          <w:b w:val="false"/>
          <w:i w:val="false"/>
          <w:caps w:val="false"/>
          <w:smallCaps w:val="false"/>
          <w:sz w:val="22"/>
        </w:rPr>
        <w:t>EXHIBIT 99</w:t>
      </w:r>
      <w:r>
        <w:br w:type="page"/>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AGREEMENT REGARDING JOINT FILING</w:t>
      </w:r>
    </w:p>
    <w:p>
      <w:pPr>
        <w:pStyle w:val="TextBody"/>
        <w:bidi w:val="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OF STATEMENT ON SCHEDULE 13D OR 13G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agree to file jointly with the Securities and Exchange Commission (the “SEC”) any and all statements on Schedule 13D or Schedule 13G or Forms 3, 4 or 5(and any amendments or supplements thereto) required under section 13(d) and 16(a) of the Securities Exchange Act of 1934, as amended, in connection with purchases by the undersigned of the securities of any issuer. For that purpose, the undersigned hereby constitute and appoint Stonepine Capital Management,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Dated:</w:t>
        <w:tab/>
        <w:t>October 10, 2024</w:t>
      </w:r>
    </w:p>
    <w:p>
      <w:pPr>
        <w:pStyle w:val="TextBody"/>
        <w:bidi w:val="0"/>
        <w:jc w:val="left"/>
        <w:rPr>
          <w:caps w:val="false"/>
          <w:smallCaps w:val="false"/>
        </w:rPr>
      </w:pPr>
      <w:r>
        <w:rPr>
          <w:caps w:val="false"/>
          <w:smallCaps w:val="false"/>
        </w:rPr>
        <w:t> </w:t>
      </w:r>
    </w:p>
    <w:tbl>
      <w:tblPr>
        <w:tblW w:w="4850" w:type="dxa"/>
        <w:jc w:val="left"/>
        <w:tblInd w:w="0" w:type="dxa"/>
        <w:tblLayout w:type="fixed"/>
        <w:tblCellMar>
          <w:top w:w="0" w:type="dxa"/>
          <w:left w:w="0" w:type="dxa"/>
          <w:bottom w:w="0" w:type="dxa"/>
          <w:right w:w="0" w:type="dxa"/>
        </w:tblCellMar>
      </w:tblPr>
      <w:tblGrid>
        <w:gridCol w:w="75"/>
        <w:gridCol w:w="47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775"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i w:val="false"/>
                <w:caps w:val="false"/>
                <w:smallCaps w:val="false"/>
                <w:sz w:val="22"/>
              </w:rPr>
              <w:t>STONEPINE CAPITAL MANAGEMENT, LLC</w:t>
            </w:r>
            <w:r>
              <w:rPr>
                <w:rFonts w:ascii="Times New Roman;Times;Serif" w:hAnsi="Times New Roman;Times;Serif"/>
                <w:b w:val="false"/>
                <w:i w:val="false"/>
                <w:caps w:val="false"/>
                <w:smallCaps w:val="false"/>
                <w:sz w:val="22"/>
              </w:rPr>
              <w:br/>
              <w:br/>
              <w:br/>
              <w:t>By:</w:t>
              <w:tab/>
            </w:r>
            <w:r>
              <w:rPr>
                <w:rFonts w:ascii="Times New Roman;Times;Serif" w:hAnsi="Times New Roman;Times;Serif"/>
                <w:b w:val="false"/>
                <w:i/>
                <w:caps w:val="false"/>
                <w:smallCaps w:val="false"/>
                <w:sz w:val="22"/>
                <w:u w:val="single"/>
              </w:rPr>
              <w:t>/s/ Jon M. Plexico</w:t>
              <w:tab/>
            </w:r>
            <w:r>
              <w:rPr>
                <w:rFonts w:ascii="Times New Roman;Times;Serif" w:hAnsi="Times New Roman;Times;Serif"/>
                <w:b w:val="false"/>
                <w:i w:val="false"/>
                <w:caps w:val="false"/>
                <w:smallCaps w:val="false"/>
                <w:sz w:val="22"/>
              </w:rPr>
              <w:br/>
              <w:tab/>
              <w:t>Jon M. Plexico</w:t>
              <w:br/>
              <w:tab/>
              <w:t>Managing Member</w:t>
            </w:r>
          </w:p>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775"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i w:val="false"/>
                <w:caps w:val="false"/>
                <w:smallCaps w:val="false"/>
                <w:sz w:val="22"/>
              </w:rPr>
              <w:t>STONEPINE CAPITAL, L.P.</w:t>
              <w:br/>
              <w:br/>
            </w:r>
            <w:r>
              <w:rPr>
                <w:rFonts w:ascii="Times New Roman;Times;Serif" w:hAnsi="Times New Roman;Times;Serif"/>
                <w:b w:val="false"/>
                <w:i w:val="false"/>
                <w:caps w:val="false"/>
                <w:smallCaps w:val="false"/>
                <w:sz w:val="22"/>
              </w:rPr>
              <w:t>By:</w:t>
              <w:tab/>
              <w:t>Stonepine GP, LLC,</w:t>
              <w:br/>
              <w:tab/>
              <w:t>General Partner</w:t>
              <w:br/>
              <w:br/>
              <w:t>By:</w:t>
              <w:tab/>
            </w:r>
            <w:r>
              <w:rPr>
                <w:rFonts w:ascii="Times New Roman;Times;Serif" w:hAnsi="Times New Roman;Times;Serif"/>
                <w:b w:val="false"/>
                <w:i/>
                <w:caps w:val="false"/>
                <w:smallCaps w:val="false"/>
                <w:sz w:val="22"/>
                <w:u w:val="single"/>
              </w:rPr>
              <w:t>/s/ Jon M. Plexico</w:t>
              <w:tab/>
            </w:r>
            <w:r>
              <w:rPr>
                <w:rFonts w:ascii="Times New Roman;Times;Serif" w:hAnsi="Times New Roman;Times;Serif"/>
                <w:b w:val="false"/>
                <w:i w:val="false"/>
                <w:caps w:val="false"/>
                <w:smallCaps w:val="false"/>
                <w:sz w:val="22"/>
              </w:rPr>
              <w:br/>
              <w:tab/>
              <w:t>Jon M. Plexico</w:t>
              <w:br/>
              <w:tab/>
              <w:t>Managing Member</w:t>
            </w:r>
          </w:p>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775"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i w:val="false"/>
                <w:caps w:val="false"/>
                <w:smallCaps w:val="false"/>
                <w:sz w:val="22"/>
              </w:rPr>
              <w:t>STONEPINE GP, LLC</w:t>
            </w:r>
            <w:r>
              <w:rPr>
                <w:rFonts w:ascii="Times New Roman;Times;Serif" w:hAnsi="Times New Roman;Times;Serif"/>
                <w:b w:val="false"/>
                <w:i w:val="false"/>
                <w:caps w:val="false"/>
                <w:smallCaps w:val="false"/>
                <w:sz w:val="22"/>
              </w:rPr>
              <w:br/>
              <w:br/>
              <w:br/>
              <w:t>By:</w:t>
              <w:tab/>
            </w:r>
            <w:r>
              <w:rPr>
                <w:rFonts w:ascii="Times New Roman;Times;Serif" w:hAnsi="Times New Roman;Times;Serif"/>
                <w:b w:val="false"/>
                <w:i/>
                <w:caps w:val="false"/>
                <w:smallCaps w:val="false"/>
                <w:sz w:val="22"/>
                <w:u w:val="single"/>
              </w:rPr>
              <w:t>/s/ Jon M. Plexico</w:t>
              <w:tab/>
            </w:r>
            <w:r>
              <w:rPr>
                <w:rFonts w:ascii="Times New Roman;Times;Serif" w:hAnsi="Times New Roman;Times;Serif"/>
                <w:b w:val="false"/>
                <w:i w:val="false"/>
                <w:caps w:val="false"/>
                <w:smallCaps w:val="false"/>
                <w:sz w:val="22"/>
              </w:rPr>
              <w:br/>
              <w:tab/>
              <w:t>Jon M. Plexico</w:t>
              <w:br/>
              <w:tab/>
              <w:t>Managing Member</w:t>
            </w:r>
          </w:p>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775" w:type="dxa"/>
            <w:tcBorders/>
            <w:vAlign w:val="center"/>
          </w:tcPr>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caps w:val="false"/>
                <w:smallCaps w:val="false"/>
                <w:sz w:val="22"/>
                <w:u w:val="single"/>
              </w:rPr>
            </w:pPr>
            <w:r>
              <w:rPr>
                <w:rFonts w:ascii="Times New Roman;Times;Serif" w:hAnsi="Times New Roman;Times;Serif"/>
                <w:b w:val="false"/>
                <w:i/>
                <w:caps w:val="false"/>
                <w:smallCaps w:val="false"/>
                <w:sz w:val="22"/>
                <w:u w:val="single"/>
              </w:rPr>
              <w:t>/s/ Jon M. Plexico</w:t>
              <w:tab/>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Jon M. Plexico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775" w:type="dxa"/>
            <w:tcBorders/>
            <w:vAlign w:val="center"/>
          </w:tcPr>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1994</Words>
  <Characters>10391</Characters>
  <CharactersWithSpaces>12336</CharactersWithSpaces>
  <Paragraphs>330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