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Edesa Biotech,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 without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06/11/2026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Integrated Core Strategies (US)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520,685.00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520,685.00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520,685.00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520,685.00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520,685.00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520,685.00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520,685.00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520,685.00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520,685.00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520,685.00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520,685.00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520,685.00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74" w:orient="portrait"/>
          <w:cols w:equalWidth="0" w:num="2">
            <w:col w:w="1060" w:space="60"/>
            <w:col w:w="9980"/>
          </w:cols>
          <w:pgMar w:left="360" w:top="112" w:right="4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74" w:orient="portrait"/>
          <w:cols w:equalWidth="0" w:num="1">
            <w:col w:w="11100"/>
          </w:cols>
          <w:pgMar w:left="360" w:top="112" w:right="43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Edesa Biotech,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Spy Court, Markham, Ontario, Canada L3R 5H6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Integrated Core Strategies (US) LLC Millennium Management LLC Millennium Group Management LLC Israel A. Englander</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74" w:orient="portrait"/>
          <w:cols w:equalWidth="0" w:num="2">
            <w:col w:w="620" w:space="300"/>
            <w:col w:w="10180"/>
          </w:cols>
          <w:pgMar w:left="360" w:top="112" w:right="439" w:bottom="0" w:gutter="0" w:footer="0" w:header="0"/>
          <w:type w:val="continuous"/>
        </w:sectPr>
      </w:pPr>
    </w:p>
    <w:p>
      <w:pPr>
        <w:spacing w:after="0" w:line="33" w:lineRule="exact"/>
        <w:rPr>
          <w:sz w:val="20"/>
          <w:szCs w:val="20"/>
          <w:color w:val="auto"/>
        </w:rPr>
      </w:pPr>
    </w:p>
    <w:p>
      <w:pPr>
        <w:ind w:left="920" w:hanging="912"/>
        <w:spacing w:after="0" w:line="193"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Integrated Core Strategies (US) LLC c/o Millennium Management LLC 399 Park Avenue New York, New York 10022 Millennium Management LLC 399 Park Avenue New York, New York 10022 Millennium Group Management LLC 399 Park Avenue New York, New York 10022 Israel A. Englander c/o Millennium Management LLC 399 Park Avenue New York, New York 10022</w:t>
      </w:r>
    </w:p>
    <w:p>
      <w:pPr>
        <w:sectPr>
          <w:pgSz w:w="11900" w:h="16874" w:orient="portrait"/>
          <w:cols w:equalWidth="0" w:num="1">
            <w:col w:w="11100"/>
          </w:cols>
          <w:pgMar w:left="360" w:top="112" w:right="439" w:bottom="0" w:gutter="0" w:footer="0" w:header="0"/>
          <w:type w:val="continuous"/>
        </w:sect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580"/>
        <w:spacing w:after="0" w:line="256" w:lineRule="auto"/>
        <w:rPr>
          <w:sz w:val="20"/>
          <w:szCs w:val="20"/>
          <w:color w:val="auto"/>
        </w:rPr>
      </w:pPr>
      <w:r>
        <w:rPr>
          <w:rFonts w:ascii="Times New Roman" w:cs="Times New Roman" w:eastAsia="Times New Roman" w:hAnsi="Times New Roman"/>
          <w:sz w:val="22"/>
          <w:szCs w:val="22"/>
          <w:color w:val="auto"/>
        </w:rPr>
        <w:t>Integrated Core Strategies (US) LLC - Delaware Millennium Management LLC - Delaware Millennium Group Management LLC - Delaware Israel A. Englander - United States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Shares, without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74" w:orient="portrait"/>
          <w:cols w:equalWidth="0" w:num="2">
            <w:col w:w="620" w:space="300"/>
            <w:col w:w="10180"/>
          </w:cols>
          <w:pgMar w:left="360" w:top="112" w:right="439" w:bottom="0" w:gutter="0" w:footer="0" w:header="0"/>
          <w:type w:val="continuous"/>
        </w:sectPr>
      </w:pPr>
    </w:p>
    <w:bookmarkStart w:id="4" w:name="page5"/>
    <w:bookmarkEnd w:id="4"/>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response to Item 9 on each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See response to Item 11 on each cover page. The percent of class was calculated based on 9,621,192 Common Shares</w:t>
      </w:r>
    </w:p>
    <w:p>
      <w:pPr>
        <w:spacing w:after="0" w:line="26" w:lineRule="exact"/>
        <w:rPr>
          <w:sz w:val="20"/>
          <w:szCs w:val="20"/>
          <w:color w:val="auto"/>
        </w:rPr>
      </w:pPr>
    </w:p>
    <w:p>
      <w:pPr>
        <w:ind w:left="920" w:right="100" w:hanging="912"/>
        <w:spacing w:after="0" w:line="234"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outstanding, which is the sum of (i) 8,891,951 Common Shares outstanding as of May 13, 2026, as reported in the issuer's Form 10-Q filed with the SEC on May 14, 2026, and (ii) 729,241 Common Shares issued in connection with a private placement that closed on or about June 15, 2026, as reported in the issuer's Form 8-K filed with the SEC on June 11, 2026. %</w:t>
      </w:r>
    </w:p>
    <w:p>
      <w:pPr>
        <w:spacing w:after="0" w:line="15"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20"/>
          </w:cols>
          <w:pgMar w:left="360" w:top="153" w:right="419" w:bottom="2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jc w:val="both"/>
        <w:ind w:right="6460" w:firstLine="6"/>
        <w:spacing w:after="0" w:line="509" w:lineRule="auto"/>
        <w:tabs>
          <w:tab w:leader="none" w:pos="25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vote or to direct the vote: See response to Item 5 on each cover page.</w:t>
      </w:r>
    </w:p>
    <w:p>
      <w:pPr>
        <w:spacing w:after="0" w:line="1" w:lineRule="exact"/>
        <w:rPr>
          <w:rFonts w:ascii="Times New Roman" w:cs="Times New Roman" w:eastAsia="Times New Roman" w:hAnsi="Times New Roman"/>
          <w:sz w:val="21"/>
          <w:szCs w:val="21"/>
          <w:color w:val="auto"/>
        </w:rPr>
      </w:pPr>
    </w:p>
    <w:p>
      <w:pPr>
        <w:ind w:right="6220" w:firstLine="6"/>
        <w:spacing w:after="0" w:line="509" w:lineRule="auto"/>
        <w:tabs>
          <w:tab w:leader="none" w:pos="31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response to Item 6 on each cover page.</w:t>
      </w:r>
    </w:p>
    <w:p>
      <w:pPr>
        <w:spacing w:after="0" w:line="1" w:lineRule="exact"/>
        <w:rPr>
          <w:rFonts w:ascii="Times New Roman" w:cs="Times New Roman" w:eastAsia="Times New Roman" w:hAnsi="Times New Roman"/>
          <w:sz w:val="21"/>
          <w:szCs w:val="21"/>
          <w:color w:val="auto"/>
        </w:rPr>
      </w:pPr>
    </w:p>
    <w:p>
      <w:pPr>
        <w:ind w:right="530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response to Item 7 on each cover page.</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1"/>
          <w:szCs w:val="21"/>
          <w:color w:val="auto"/>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00"/>
          </w:cols>
          <w:pgMar w:left="360" w:top="153" w:right="419" w:bottom="216" w:gutter="0" w:footer="0" w:header="0"/>
          <w:type w:val="continuous"/>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ectPr>
          <w:pgSz w:w="11900" w:h="16838" w:orient="portrait"/>
          <w:cols w:equalWidth="0" w:num="1">
            <w:col w:w="11120"/>
          </w:cols>
          <w:pgMar w:left="360" w:top="153" w:right="419" w:bottom="216" w:gutter="0" w:footer="0" w:header="0"/>
          <w:type w:val="continuous"/>
        </w:sectPr>
      </w:pPr>
    </w:p>
    <w:bookmarkStart w:id="5" w:name="page6"/>
    <w:bookmarkEnd w:id="5"/>
    <w:p>
      <w:pPr>
        <w:ind w:left="960"/>
        <w:spacing w:after="0"/>
        <w:rPr>
          <w:sz w:val="20"/>
          <w:szCs w:val="20"/>
          <w:color w:val="auto"/>
        </w:rPr>
      </w:pPr>
      <w:r>
        <w:rPr>
          <w:rFonts w:ascii="Times New Roman" w:cs="Times New Roman" w:eastAsia="Times New Roman" w:hAnsi="Times New Roman"/>
          <w:sz w:val="22"/>
          <w:szCs w:val="22"/>
          <w:color w:val="auto"/>
        </w:rPr>
        <w:t>See Exhibit I</w:t>
      </w:r>
    </w:p>
    <w:p>
      <w:pPr>
        <w:spacing w:after="0" w:line="45"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8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Integrated Core Strategies (US)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06/17/2026</w:t>
      </w:r>
    </w:p>
    <w:p>
      <w:pPr>
        <w:spacing w:after="0" w:line="15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06/17/2026</w:t>
      </w:r>
    </w:p>
    <w:p>
      <w:pPr>
        <w:spacing w:after="0" w:line="15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152"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60"/>
        <w:spacing w:after="0"/>
        <w:tabs>
          <w:tab w:leader="none" w:pos="5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06/17/2026</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152"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Israel A. Englander</w:t>
      </w:r>
    </w:p>
    <w:p>
      <w:pPr>
        <w:spacing w:after="0" w:line="4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Name/Title: Israel A. Englander</w:t>
      </w:r>
    </w:p>
    <w:p>
      <w:pPr>
        <w:spacing w:after="0" w:line="44" w:lineRule="exact"/>
        <w:rPr>
          <w:sz w:val="20"/>
          <w:szCs w:val="20"/>
          <w:color w:val="auto"/>
        </w:rPr>
      </w:pPr>
    </w:p>
    <w:p>
      <w:pPr>
        <w:ind w:left="3260"/>
        <w:spacing w:after="0"/>
        <w:tabs>
          <w:tab w:leader="none" w:pos="4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06/17/2026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 INTEGRATED CORE STRATEGIES (US) LLC By: Integrated Holding Group 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its Managing Member By: Millennium Management LLC, its General Partner</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right="240"/>
        <w:spacing w:after="0" w:line="258" w:lineRule="auto"/>
        <w:rPr>
          <w:sz w:val="20"/>
          <w:szCs w:val="20"/>
          <w:color w:val="auto"/>
        </w:rPr>
      </w:pPr>
      <w:r>
        <w:rPr>
          <w:rFonts w:ascii="Times New Roman" w:cs="Times New Roman" w:eastAsia="Times New Roman" w:hAnsi="Times New Roman"/>
          <w:sz w:val="22"/>
          <w:szCs w:val="22"/>
          <w:color w:val="auto"/>
        </w:rPr>
        <w:t>Exhibit I: Joint Filing Agreement, dated as of June 17, 2026, by and among Integrated Core Strategies (US) LLC, Millennium Management LLC, Millennium Group Management LLC and Israel A. Englander.</w:t>
      </w:r>
    </w:p>
    <w:p>
      <w:pPr>
        <w:sectPr>
          <w:pgSz w:w="11900" w:h="16838" w:orient="portrait"/>
          <w:cols w:equalWidth="0" w:num="1">
            <w:col w:w="11180"/>
          </w:cols>
          <w:pgMar w:left="320" w:top="111" w:right="399" w:bottom="1440" w:gutter="0" w:footer="0" w:header="0"/>
        </w:sectPr>
      </w:pPr>
    </w:p>
    <w:bookmarkStart w:id="6" w:name="page7"/>
    <w:bookmarkEnd w:id="6"/>
    <w:p>
      <w:pPr>
        <w:jc w:val="center"/>
        <w:ind w:right="-119"/>
        <w:spacing w:after="0"/>
        <w:rPr>
          <w:sz w:val="20"/>
          <w:szCs w:val="20"/>
          <w:color w:val="auto"/>
        </w:rPr>
      </w:pPr>
      <w:r>
        <w:rPr>
          <w:rFonts w:ascii="Times New Roman" w:cs="Times New Roman" w:eastAsia="Times New Roman" w:hAnsi="Times New Roman"/>
          <w:sz w:val="18"/>
          <w:szCs w:val="18"/>
          <w:color w:val="auto"/>
        </w:rPr>
        <w:t>EXHIBIT 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Common Shares, without par value, of Edesa Biotech,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17,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INTEGRATED CORE STRATEGIES (US)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Integrated Holding Group LP,</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Millennium Management LLC,</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20"/>
      </w:cols>
      <w:pgMar w:left="320" w:top="12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decimal"/>
      <w:start w:val="12"/>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2"/>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2"/>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2026-06-18T16:27:05Z</dcterms:created>
  <dcterms:modified xsi:type="dcterms:W3CDTF">2026-06-18T16:27:05Z</dcterms:modified>
</cp:coreProperties>
</file>