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FF0000"/>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300" w:type="dxa"/>
            <w:vAlign w:val="bottom"/>
            <w:tcBorders>
              <w:top w:val="single" w:sz="8" w:color="FF0000"/>
              <w:bottom w:val="single" w:sz="8" w:color="FF0000"/>
              <w:right w:val="single" w:sz="8" w:color="FF0000"/>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89"/>
              </w:rPr>
              <w:t>8-K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gridSpan w:val="16"/>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1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17"/>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620" w:type="dxa"/>
            <w:vAlign w:val="bottom"/>
            <w:gridSpan w:val="19"/>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1080" w:type="dxa"/>
            <w:vAlign w:val="bottom"/>
            <w:tcBorders>
              <w:bottom w:val="single" w:sz="8" w:color="FF0000"/>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20" w:type="dxa"/>
            <w:vAlign w:val="bottom"/>
            <w:gridSpan w:val="19"/>
            <w:vMerge w:val="continue"/>
          </w:tcPr>
          <w:p>
            <w:pPr>
              <w:spacing w:after="0"/>
              <w:rPr>
                <w:sz w:val="17"/>
                <w:szCs w:val="17"/>
                <w:color w:val="auto"/>
              </w:rPr>
            </w:pPr>
          </w:p>
        </w:tc>
        <w:tc>
          <w:tcPr>
            <w:tcW w:w="1080" w:type="dxa"/>
            <w:vAlign w:val="bottom"/>
            <w:tcBorders>
              <w:left w:val="single" w:sz="8" w:color="FF0000"/>
              <w:bottom w:val="single" w:sz="8" w:color="FF0000"/>
              <w:right w:val="single" w:sz="8" w:color="FF0000"/>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June 10, 2026</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FF0000"/>
            </w:tcBorders>
          </w:tcPr>
          <w:p>
            <w:pPr>
              <w:spacing w:after="0"/>
              <w:rPr>
                <w:sz w:val="17"/>
                <w:szCs w:val="17"/>
                <w:color w:val="auto"/>
              </w:rPr>
            </w:pPr>
          </w:p>
        </w:tc>
        <w:tc>
          <w:tcPr>
            <w:tcW w:w="200" w:type="dxa"/>
            <w:vAlign w:val="bottom"/>
            <w:tcBorders>
              <w:bottom w:val="single" w:sz="8" w:color="FF0000"/>
            </w:tcBorders>
          </w:tcPr>
          <w:p>
            <w:pPr>
              <w:spacing w:after="0"/>
              <w:rPr>
                <w:sz w:val="17"/>
                <w:szCs w:val="17"/>
                <w:color w:val="auto"/>
              </w:rPr>
            </w:pPr>
          </w:p>
        </w:tc>
        <w:tc>
          <w:tcPr>
            <w:tcW w:w="240" w:type="dxa"/>
            <w:vAlign w:val="bottom"/>
            <w:tcBorders>
              <w:bottom w:val="single" w:sz="8" w:color="FF0000"/>
            </w:tcBorders>
          </w:tcPr>
          <w:p>
            <w:pPr>
              <w:spacing w:after="0"/>
              <w:rPr>
                <w:sz w:val="17"/>
                <w:szCs w:val="17"/>
                <w:color w:val="auto"/>
              </w:rPr>
            </w:pPr>
          </w:p>
        </w:tc>
        <w:tc>
          <w:tcPr>
            <w:tcW w:w="40" w:type="dxa"/>
            <w:vAlign w:val="bottom"/>
            <w:tcBorders>
              <w:bottom w:val="single" w:sz="8" w:color="FF0000"/>
            </w:tcBorders>
          </w:tcPr>
          <w:p>
            <w:pPr>
              <w:spacing w:after="0"/>
              <w:rPr>
                <w:sz w:val="17"/>
                <w:szCs w:val="17"/>
                <w:color w:val="auto"/>
              </w:rPr>
            </w:pPr>
          </w:p>
        </w:tc>
        <w:tc>
          <w:tcPr>
            <w:tcW w:w="540" w:type="dxa"/>
            <w:vAlign w:val="bottom"/>
            <w:tcBorders>
              <w:bottom w:val="single" w:sz="8" w:color="FF0000"/>
            </w:tcBorders>
            <w:gridSpan w:val="4"/>
          </w:tcPr>
          <w:p>
            <w:pPr>
              <w:spacing w:after="0"/>
              <w:rPr>
                <w:sz w:val="17"/>
                <w:szCs w:val="17"/>
                <w:color w:val="auto"/>
              </w:rPr>
            </w:pPr>
          </w:p>
        </w:tc>
        <w:tc>
          <w:tcPr>
            <w:tcW w:w="180" w:type="dxa"/>
            <w:vAlign w:val="bottom"/>
            <w:tcBorders>
              <w:bottom w:val="single" w:sz="8" w:color="FF0000"/>
            </w:tcBorders>
            <w:gridSpan w:val="2"/>
          </w:tcPr>
          <w:p>
            <w:pPr>
              <w:spacing w:after="0"/>
              <w:rPr>
                <w:sz w:val="17"/>
                <w:szCs w:val="17"/>
                <w:color w:val="auto"/>
              </w:rPr>
            </w:pPr>
          </w:p>
        </w:tc>
        <w:tc>
          <w:tcPr>
            <w:tcW w:w="160" w:type="dxa"/>
            <w:vAlign w:val="bottom"/>
            <w:tcBorders>
              <w:bottom w:val="single" w:sz="8" w:color="FF0000"/>
            </w:tcBorders>
          </w:tcPr>
          <w:p>
            <w:pPr>
              <w:spacing w:after="0"/>
              <w:rPr>
                <w:sz w:val="17"/>
                <w:szCs w:val="17"/>
                <w:color w:val="auto"/>
              </w:rPr>
            </w:pPr>
          </w:p>
        </w:tc>
        <w:tc>
          <w:tcPr>
            <w:tcW w:w="15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(Exact name of</w:t>
            </w:r>
          </w:p>
        </w:tc>
        <w:tc>
          <w:tcPr>
            <w:tcW w:w="1520" w:type="dxa"/>
            <w:vAlign w:val="bottom"/>
            <w:tcBorders>
              <w:left w:val="single" w:sz="8" w:color="FF0000"/>
              <w:bottom w:val="single" w:sz="8" w:color="FF0000"/>
              <w:right w:val="single" w:sz="8" w:color="FF0000"/>
            </w:tcBorders>
            <w:gridSpan w:val="11"/>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Edesa Biotech, Inc.</w:t>
            </w:r>
          </w:p>
        </w:tc>
        <w:tc>
          <w:tcPr>
            <w:tcW w:w="1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in its charter)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6"/>
            <w:vMerge w:val="continue"/>
          </w:tcPr>
          <w:p>
            <w:pPr>
              <w:spacing w:after="0"/>
              <w:rPr>
                <w:sz w:val="20"/>
                <w:szCs w:val="20"/>
                <w:color w:val="auto"/>
              </w:rPr>
            </w:pPr>
          </w:p>
        </w:tc>
        <w:tc>
          <w:tcPr>
            <w:tcW w:w="152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4"/>
              </w:rPr>
              <w:t>registrant as specified</w:t>
            </w:r>
          </w:p>
        </w:tc>
        <w:tc>
          <w:tcPr>
            <w:tcW w:w="154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40" w:type="dxa"/>
            <w:vAlign w:val="bottom"/>
          </w:tcPr>
          <w:p>
            <w:pPr>
              <w:spacing w:after="0"/>
              <w:rPr>
                <w:sz w:val="15"/>
                <w:szCs w:val="15"/>
                <w:color w:val="auto"/>
              </w:rPr>
            </w:pPr>
          </w:p>
        </w:tc>
        <w:tc>
          <w:tcPr>
            <w:tcW w:w="240" w:type="dxa"/>
            <w:vAlign w:val="bottom"/>
            <w:tcBorders>
              <w:bottom w:val="single" w:sz="8" w:color="FF0000"/>
            </w:tcBorders>
          </w:tcPr>
          <w:p>
            <w:pPr>
              <w:spacing w:after="0"/>
              <w:rPr>
                <w:sz w:val="15"/>
                <w:szCs w:val="15"/>
                <w:color w:val="auto"/>
              </w:rPr>
            </w:pPr>
          </w:p>
        </w:tc>
        <w:tc>
          <w:tcPr>
            <w:tcW w:w="1140" w:type="dxa"/>
            <w:vAlign w:val="bottom"/>
            <w:tcBorders>
              <w:bottom w:val="single" w:sz="8" w:color="FF0000"/>
            </w:tcBorders>
          </w:tcPr>
          <w:p>
            <w:pPr>
              <w:spacing w:after="0"/>
              <w:rPr>
                <w:sz w:val="15"/>
                <w:szCs w:val="15"/>
                <w:color w:val="auto"/>
              </w:rPr>
            </w:pPr>
          </w:p>
        </w:tc>
        <w:tc>
          <w:tcPr>
            <w:tcW w:w="100" w:type="dxa"/>
            <w:vAlign w:val="bottom"/>
            <w:tcBorders>
              <w:bottom w:val="single" w:sz="8" w:color="FF0000"/>
            </w:tcBorders>
          </w:tcPr>
          <w:p>
            <w:pPr>
              <w:spacing w:after="0"/>
              <w:rPr>
                <w:sz w:val="15"/>
                <w:szCs w:val="15"/>
                <w:color w:val="auto"/>
              </w:rPr>
            </w:pPr>
          </w:p>
        </w:tc>
        <w:tc>
          <w:tcPr>
            <w:tcW w:w="580" w:type="dxa"/>
            <w:vAlign w:val="bottom"/>
            <w:tcBorders>
              <w:bottom w:val="single" w:sz="8" w:color="FF0000"/>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620" w:type="dxa"/>
            <w:vAlign w:val="bottom"/>
            <w:gridSpan w:val="2"/>
            <w:vMerge w:val="restart"/>
          </w:tcPr>
          <w:p>
            <w:pPr>
              <w:spacing w:after="0"/>
              <w:rPr>
                <w:sz w:val="15"/>
                <w:szCs w:val="15"/>
                <w:color w:val="auto"/>
              </w:rPr>
            </w:pPr>
          </w:p>
        </w:tc>
        <w:tc>
          <w:tcPr>
            <w:tcW w:w="40" w:type="dxa"/>
            <w:vAlign w:val="bottom"/>
            <w:gridSpan w:val="2"/>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620" w:type="dxa"/>
            <w:vAlign w:val="bottom"/>
            <w:vMerge w:val="restart"/>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40" w:type="dxa"/>
            <w:vAlign w:val="bottom"/>
            <w:tcBorders>
              <w:bottom w:val="single" w:sz="8" w:color="FF0000"/>
            </w:tcBorders>
          </w:tcPr>
          <w:p>
            <w:pPr>
              <w:spacing w:after="0"/>
              <w:rPr>
                <w:sz w:val="15"/>
                <w:szCs w:val="15"/>
                <w:color w:val="auto"/>
              </w:rPr>
            </w:pPr>
          </w:p>
        </w:tc>
        <w:tc>
          <w:tcPr>
            <w:tcW w:w="40" w:type="dxa"/>
            <w:vAlign w:val="bottom"/>
            <w:tcBorders>
              <w:bottom w:val="single" w:sz="8" w:color="FF0000"/>
            </w:tcBorders>
          </w:tcPr>
          <w:p>
            <w:pPr>
              <w:spacing w:after="0"/>
              <w:rPr>
                <w:sz w:val="15"/>
                <w:szCs w:val="15"/>
                <w:color w:val="auto"/>
              </w:rPr>
            </w:pPr>
          </w:p>
        </w:tc>
        <w:tc>
          <w:tcPr>
            <w:tcW w:w="540" w:type="dxa"/>
            <w:vAlign w:val="bottom"/>
            <w:tcBorders>
              <w:bottom w:val="single" w:sz="8" w:color="FF0000"/>
            </w:tcBorders>
            <w:gridSpan w:val="4"/>
          </w:tcPr>
          <w:p>
            <w:pPr>
              <w:spacing w:after="0"/>
              <w:rPr>
                <w:sz w:val="15"/>
                <w:szCs w:val="15"/>
                <w:color w:val="auto"/>
              </w:rPr>
            </w:pPr>
          </w:p>
        </w:tc>
        <w:tc>
          <w:tcPr>
            <w:tcW w:w="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vMerge w:val="restart"/>
          </w:tcPr>
          <w:p>
            <w:pPr>
              <w:spacing w:after="0"/>
              <w:rPr>
                <w:sz w:val="15"/>
                <w:szCs w:val="15"/>
                <w:color w:val="auto"/>
              </w:rPr>
            </w:pPr>
          </w:p>
        </w:tc>
        <w:tc>
          <w:tcPr>
            <w:tcW w:w="720" w:type="dxa"/>
            <w:vAlign w:val="bottom"/>
            <w:vMerge w:val="restart"/>
          </w:tcPr>
          <w:p>
            <w:pPr>
              <w:spacing w:after="0"/>
              <w:rPr>
                <w:sz w:val="15"/>
                <w:szCs w:val="15"/>
                <w:color w:val="auto"/>
              </w:rPr>
            </w:pPr>
          </w:p>
        </w:tc>
        <w:tc>
          <w:tcPr>
            <w:tcW w:w="2380" w:type="dxa"/>
            <w:vAlign w:val="bottom"/>
            <w:vMerge w:val="restart"/>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196"/>
        </w:trPr>
        <w:tc>
          <w:tcPr>
            <w:tcW w:w="840" w:type="dxa"/>
            <w:vAlign w:val="bottom"/>
            <w:tcBorders>
              <w:right w:val="single" w:sz="8" w:color="FF0000"/>
            </w:tcBorders>
          </w:tcPr>
          <w:p>
            <w:pPr>
              <w:spacing w:after="0"/>
              <w:rPr>
                <w:sz w:val="17"/>
                <w:szCs w:val="17"/>
                <w:color w:val="auto"/>
              </w:rPr>
            </w:pPr>
          </w:p>
        </w:tc>
        <w:tc>
          <w:tcPr>
            <w:tcW w:w="2060" w:type="dxa"/>
            <w:vAlign w:val="bottom"/>
            <w:tcBorders>
              <w:bottom w:val="single" w:sz="8" w:color="FF0000"/>
              <w:right w:val="single" w:sz="8" w:color="FF0000"/>
            </w:tcBorders>
            <w:gridSpan w:val="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tcBorders>
              <w:left w:val="single" w:sz="8" w:color="FF0000"/>
              <w:bottom w:val="single" w:sz="8" w:color="FF0000"/>
              <w:right w:val="single" w:sz="8" w:color="FF0000"/>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001-37619</w:t>
            </w: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0" w:type="dxa"/>
            <w:vAlign w:val="bottom"/>
          </w:tcPr>
          <w:p>
            <w:pPr>
              <w:spacing w:after="0"/>
              <w:rPr>
                <w:sz w:val="15"/>
                <w:szCs w:val="15"/>
                <w:color w:val="auto"/>
              </w:rPr>
            </w:pPr>
          </w:p>
        </w:tc>
        <w:tc>
          <w:tcPr>
            <w:tcW w:w="206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60" w:type="dxa"/>
            <w:vAlign w:val="bottom"/>
            <w:gridSpan w:val="14"/>
          </w:tcPr>
          <w:p>
            <w:pPr>
              <w:jc w:val="center"/>
              <w:ind w:right="650"/>
              <w:spacing w:after="0" w:line="182"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gridSpan w:val="2"/>
          </w:tcPr>
          <w:p>
            <w:pPr>
              <w:jc w:val="center"/>
              <w:ind w:right="510"/>
              <w:spacing w:after="0" w:line="18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19"/>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FF0000"/>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FF0000"/>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FF0000"/>
            </w:tcBorders>
            <w:gridSpan w:val="2"/>
          </w:tcPr>
          <w:p>
            <w:pPr>
              <w:spacing w:after="0"/>
              <w:rPr>
                <w:sz w:val="19"/>
                <w:szCs w:val="19"/>
                <w:color w:val="auto"/>
              </w:rPr>
            </w:pPr>
          </w:p>
        </w:tc>
        <w:tc>
          <w:tcPr>
            <w:tcW w:w="40" w:type="dxa"/>
            <w:vAlign w:val="bottom"/>
            <w:tcBorders>
              <w:bottom w:val="single" w:sz="8" w:color="FF0000"/>
            </w:tcBorders>
            <w:gridSpan w:val="2"/>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FF0000"/>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6"/>
          </w:tcPr>
          <w:p>
            <w:pPr>
              <w:spacing w:after="0"/>
              <w:rPr>
                <w:sz w:val="19"/>
                <w:szCs w:val="19"/>
                <w:color w:val="auto"/>
              </w:rPr>
            </w:pPr>
          </w:p>
        </w:tc>
        <w:tc>
          <w:tcPr>
            <w:tcW w:w="1700" w:type="dxa"/>
            <w:vAlign w:val="bottom"/>
            <w:gridSpan w:val="5"/>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FF0000"/>
            </w:tcBorders>
          </w:tcPr>
          <w:p>
            <w:pPr>
              <w:spacing w:after="0"/>
              <w:rPr>
                <w:sz w:val="19"/>
                <w:szCs w:val="19"/>
                <w:color w:val="auto"/>
              </w:rPr>
            </w:pPr>
          </w:p>
        </w:tc>
        <w:tc>
          <w:tcPr>
            <w:tcW w:w="23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 w:type="dxa"/>
            <w:vAlign w:val="bottom"/>
            <w:tcBorders>
              <w:right w:val="single" w:sz="8" w:color="FF0000"/>
            </w:tcBorders>
          </w:tcPr>
          <w:p>
            <w:pPr>
              <w:spacing w:after="0"/>
              <w:rPr>
                <w:sz w:val="18"/>
                <w:szCs w:val="18"/>
                <w:color w:val="auto"/>
              </w:rPr>
            </w:pPr>
          </w:p>
        </w:tc>
        <w:tc>
          <w:tcPr>
            <w:tcW w:w="1140" w:type="dxa"/>
            <w:vAlign w:val="bottom"/>
            <w:tcBorders>
              <w:bottom w:val="single" w:sz="8" w:color="FF0000"/>
              <w:right w:val="single" w:sz="8" w:color="FF0000"/>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100 Spy Court,</w:t>
            </w:r>
          </w:p>
        </w:tc>
        <w:tc>
          <w:tcPr>
            <w:tcW w:w="100" w:type="dxa"/>
            <w:vAlign w:val="bottom"/>
            <w:tcBorders>
              <w:right w:val="single" w:sz="8" w:color="FF0000"/>
            </w:tcBorders>
          </w:tcPr>
          <w:p>
            <w:pPr>
              <w:spacing w:after="0"/>
              <w:rPr>
                <w:sz w:val="18"/>
                <w:szCs w:val="18"/>
                <w:color w:val="auto"/>
              </w:rPr>
            </w:pPr>
          </w:p>
        </w:tc>
        <w:tc>
          <w:tcPr>
            <w:tcW w:w="800" w:type="dxa"/>
            <w:vAlign w:val="bottom"/>
            <w:tcBorders>
              <w:bottom w:val="single" w:sz="8" w:color="FF0000"/>
              <w:right w:val="single" w:sz="8" w:color="FF0000"/>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2"/>
              </w:rPr>
              <w:t>Markham,</w:t>
            </w:r>
          </w:p>
        </w:tc>
        <w:tc>
          <w:tcPr>
            <w:tcW w:w="100" w:type="dxa"/>
            <w:vAlign w:val="bottom"/>
            <w:tcBorders>
              <w:right w:val="single" w:sz="8" w:color="FF0000"/>
            </w:tcBorders>
          </w:tcPr>
          <w:p>
            <w:pPr>
              <w:spacing w:after="0"/>
              <w:rPr>
                <w:sz w:val="18"/>
                <w:szCs w:val="18"/>
                <w:color w:val="auto"/>
              </w:rPr>
            </w:pPr>
          </w:p>
        </w:tc>
        <w:tc>
          <w:tcPr>
            <w:tcW w:w="620" w:type="dxa"/>
            <w:vAlign w:val="bottom"/>
            <w:tcBorders>
              <w:bottom w:val="single" w:sz="8" w:color="FF0000"/>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1"/>
              </w:rPr>
              <w:t>Ontario,</w:t>
            </w:r>
          </w:p>
        </w:tc>
        <w:tc>
          <w:tcPr>
            <w:tcW w:w="40" w:type="dxa"/>
            <w:vAlign w:val="bottom"/>
            <w:tcBorders>
              <w:bottom w:val="single" w:sz="8" w:color="FF0000"/>
            </w:tcBorders>
            <w:gridSpan w:val="2"/>
            <w:shd w:val="clear" w:color="auto" w:fill="FF0000"/>
          </w:tcPr>
          <w:p>
            <w:pPr>
              <w:spacing w:after="0"/>
              <w:rPr>
                <w:sz w:val="18"/>
                <w:szCs w:val="18"/>
                <w:color w:val="auto"/>
              </w:rPr>
            </w:pPr>
          </w:p>
        </w:tc>
        <w:tc>
          <w:tcPr>
            <w:tcW w:w="80" w:type="dxa"/>
            <w:vAlign w:val="bottom"/>
            <w:tcBorders>
              <w:right w:val="single" w:sz="8" w:color="FF0000"/>
            </w:tcBorders>
          </w:tcPr>
          <w:p>
            <w:pPr>
              <w:spacing w:after="0"/>
              <w:rPr>
                <w:sz w:val="18"/>
                <w:szCs w:val="18"/>
                <w:color w:val="auto"/>
              </w:rPr>
            </w:pPr>
          </w:p>
        </w:tc>
        <w:tc>
          <w:tcPr>
            <w:tcW w:w="620" w:type="dxa"/>
            <w:vAlign w:val="bottom"/>
            <w:tcBorders>
              <w:bottom w:val="single" w:sz="8" w:color="FF0000"/>
              <w:right w:val="single" w:sz="8" w:color="FF0000"/>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Canada</w:t>
            </w:r>
          </w:p>
        </w:tc>
        <w:tc>
          <w:tcPr>
            <w:tcW w:w="44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6"/>
          </w:tcPr>
          <w:p>
            <w:pPr>
              <w:spacing w:after="0"/>
              <w:rPr>
                <w:sz w:val="18"/>
                <w:szCs w:val="18"/>
                <w:color w:val="auto"/>
              </w:rPr>
            </w:pPr>
          </w:p>
        </w:tc>
        <w:tc>
          <w:tcPr>
            <w:tcW w:w="1700" w:type="dxa"/>
            <w:vAlign w:val="bottom"/>
            <w:gridSpan w:val="5"/>
          </w:tcPr>
          <w:p>
            <w:pPr>
              <w:spacing w:after="0"/>
              <w:rPr>
                <w:sz w:val="18"/>
                <w:szCs w:val="18"/>
                <w:color w:val="auto"/>
              </w:rPr>
            </w:pPr>
          </w:p>
        </w:tc>
        <w:tc>
          <w:tcPr>
            <w:tcW w:w="220" w:type="dxa"/>
            <w:vAlign w:val="bottom"/>
            <w:tcBorders>
              <w:right w:val="single" w:sz="8" w:color="FF0000"/>
            </w:tcBorders>
          </w:tcPr>
          <w:p>
            <w:pPr>
              <w:spacing w:after="0"/>
              <w:rPr>
                <w:sz w:val="18"/>
                <w:szCs w:val="18"/>
                <w:color w:val="auto"/>
              </w:rPr>
            </w:pPr>
          </w:p>
        </w:tc>
        <w:tc>
          <w:tcPr>
            <w:tcW w:w="720" w:type="dxa"/>
            <w:vAlign w:val="bottom"/>
            <w:tcBorders>
              <w:bottom w:val="single" w:sz="8" w:color="FF0000"/>
              <w:right w:val="single" w:sz="8" w:color="FF0000"/>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L3R 5H6</w:t>
            </w:r>
          </w:p>
        </w:tc>
        <w:tc>
          <w:tcPr>
            <w:tcW w:w="2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gridSpan w:val="17"/>
          </w:tcPr>
          <w:p>
            <w:pPr>
              <w:ind w:left="3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spacing w:after="0"/>
              <w:rPr>
                <w:sz w:val="18"/>
                <w:szCs w:val="18"/>
                <w:color w:val="auto"/>
              </w:rPr>
            </w:pPr>
          </w:p>
        </w:tc>
        <w:tc>
          <w:tcPr>
            <w:tcW w:w="3320" w:type="dxa"/>
            <w:vAlign w:val="bottom"/>
            <w:tcBorders>
              <w:top w:val="single" w:sz="8" w:color="auto"/>
            </w:tcBorders>
            <w:gridSpan w:val="3"/>
          </w:tcPr>
          <w:p>
            <w:pPr>
              <w:jc w:val="center"/>
              <w:ind w:right="20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10"/>
            <w:vMerge w:val="restart"/>
          </w:tcPr>
          <w:p>
            <w:pPr>
              <w:spacing w:after="0"/>
              <w:rPr>
                <w:sz w:val="15"/>
                <w:szCs w:val="15"/>
                <w:color w:val="auto"/>
              </w:rPr>
            </w:pPr>
          </w:p>
        </w:tc>
        <w:tc>
          <w:tcPr>
            <w:tcW w:w="440" w:type="dxa"/>
            <w:vAlign w:val="bottom"/>
            <w:tcBorders>
              <w:bottom w:val="single" w:sz="8" w:color="FF0000"/>
            </w:tcBorders>
            <w:gridSpan w:val="2"/>
          </w:tcPr>
          <w:p>
            <w:pPr>
              <w:spacing w:after="0"/>
              <w:rPr>
                <w:sz w:val="15"/>
                <w:szCs w:val="15"/>
                <w:color w:val="auto"/>
              </w:rPr>
            </w:pPr>
          </w:p>
        </w:tc>
        <w:tc>
          <w:tcPr>
            <w:tcW w:w="40" w:type="dxa"/>
            <w:vAlign w:val="bottom"/>
            <w:vMerge w:val="restart"/>
          </w:tcPr>
          <w:p>
            <w:pPr>
              <w:spacing w:after="0"/>
              <w:rPr>
                <w:sz w:val="15"/>
                <w:szCs w:val="15"/>
                <w:color w:val="auto"/>
              </w:rPr>
            </w:pPr>
          </w:p>
        </w:tc>
        <w:tc>
          <w:tcPr>
            <w:tcW w:w="720" w:type="dxa"/>
            <w:vAlign w:val="bottom"/>
            <w:tcBorders>
              <w:bottom w:val="single" w:sz="8" w:color="FF0000"/>
            </w:tcBorders>
            <w:gridSpan w:val="6"/>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gridSpan w:val="10"/>
            <w:vMerge w:val="continue"/>
          </w:tcPr>
          <w:p>
            <w:pPr>
              <w:spacing w:after="0"/>
              <w:rPr>
                <w:sz w:val="17"/>
                <w:szCs w:val="17"/>
                <w:color w:val="auto"/>
              </w:rPr>
            </w:pPr>
          </w:p>
        </w:tc>
        <w:tc>
          <w:tcPr>
            <w:tcW w:w="440" w:type="dxa"/>
            <w:vAlign w:val="bottom"/>
            <w:tcBorders>
              <w:left w:val="single" w:sz="8" w:color="FF0000"/>
              <w:bottom w:val="single" w:sz="8" w:color="FF0000"/>
              <w:right w:val="single" w:sz="8" w:color="FF0000"/>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(289)</w:t>
            </w:r>
          </w:p>
        </w:tc>
        <w:tc>
          <w:tcPr>
            <w:tcW w:w="40" w:type="dxa"/>
            <w:vAlign w:val="bottom"/>
            <w:vMerge w:val="continue"/>
          </w:tcPr>
          <w:p>
            <w:pPr>
              <w:spacing w:after="0"/>
              <w:rPr>
                <w:sz w:val="17"/>
                <w:szCs w:val="17"/>
                <w:color w:val="auto"/>
              </w:rPr>
            </w:pPr>
          </w:p>
        </w:tc>
        <w:tc>
          <w:tcPr>
            <w:tcW w:w="720" w:type="dxa"/>
            <w:vAlign w:val="bottom"/>
            <w:tcBorders>
              <w:left w:val="single" w:sz="8" w:color="FF0000"/>
              <w:bottom w:val="single" w:sz="8" w:color="FF0000"/>
              <w:right w:val="single" w:sz="8" w:color="FF0000"/>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800-9600</w:t>
            </w:r>
          </w:p>
        </w:tc>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including area code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Registrant’s telephone</w:t>
            </w:r>
          </w:p>
        </w:tc>
        <w:tc>
          <w:tcPr>
            <w:tcW w:w="40" w:type="dxa"/>
            <w:vAlign w:val="bottom"/>
          </w:tcPr>
          <w:p>
            <w:pPr>
              <w:spacing w:after="0"/>
              <w:rPr>
                <w:sz w:val="20"/>
                <w:szCs w:val="20"/>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gridSpan w:val="5"/>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2"/>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gridSpan w:val="22"/>
          </w:tcPr>
          <w:p>
            <w:pPr>
              <w:jc w:val="center"/>
              <w:ind w:lef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-952500</wp:posOffset>
            </wp:positionV>
            <wp:extent cx="132715" cy="149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-678180</wp:posOffset>
            </wp:positionV>
            <wp:extent cx="132715" cy="149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715"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-403860</wp:posOffset>
            </wp:positionV>
            <wp:extent cx="132715" cy="149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715"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-129540</wp:posOffset>
            </wp:positionV>
            <wp:extent cx="132715" cy="149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715" cy="14986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9"/>
        </w:trPr>
        <w:tc>
          <w:tcPr>
            <w:tcW w:w="47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6"/>
        </w:trPr>
        <w:tc>
          <w:tcPr>
            <w:tcW w:w="1280" w:type="dxa"/>
            <w:vAlign w:val="bottom"/>
            <w:tcBorders>
              <w:top w:val="single" w:sz="8" w:color="CCEEFF"/>
              <w:bottom w:val="single" w:sz="8" w:color="CCEEFF"/>
              <w:right w:val="single" w:sz="8" w:color="FF0000"/>
            </w:tcBorders>
            <w:shd w:val="clear" w:color="auto" w:fill="CCEEFF"/>
          </w:tcPr>
          <w:p>
            <w:pPr>
              <w:spacing w:after="0"/>
              <w:rPr>
                <w:sz w:val="17"/>
                <w:szCs w:val="17"/>
                <w:color w:val="auto"/>
              </w:rPr>
            </w:pPr>
          </w:p>
        </w:tc>
        <w:tc>
          <w:tcPr>
            <w:tcW w:w="1300" w:type="dxa"/>
            <w:vAlign w:val="bottom"/>
            <w:tcBorders>
              <w:top w:val="single" w:sz="8" w:color="FF0000"/>
              <w:bottom w:val="single" w:sz="8" w:color="FF0000"/>
              <w:right w:val="single" w:sz="8" w:color="FF0000"/>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2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right w:val="single" w:sz="8" w:color="FF0000"/>
            </w:tcBorders>
            <w:shd w:val="clear" w:color="auto" w:fill="CCEEFF"/>
          </w:tcPr>
          <w:p>
            <w:pPr>
              <w:spacing w:after="0"/>
              <w:rPr>
                <w:sz w:val="17"/>
                <w:szCs w:val="17"/>
                <w:color w:val="auto"/>
              </w:rPr>
            </w:pPr>
          </w:p>
        </w:tc>
        <w:tc>
          <w:tcPr>
            <w:tcW w:w="500" w:type="dxa"/>
            <w:vAlign w:val="bottom"/>
            <w:tcBorders>
              <w:top w:val="single" w:sz="8" w:color="FF0000"/>
              <w:bottom w:val="single" w:sz="8" w:color="FF0000"/>
              <w:right w:val="single" w:sz="8" w:color="FF0000"/>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EDSA</w:t>
            </w: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right w:val="single" w:sz="8" w:color="FF0000"/>
            </w:tcBorders>
            <w:shd w:val="clear" w:color="auto" w:fill="CCEEFF"/>
          </w:tcPr>
          <w:p>
            <w:pPr>
              <w:spacing w:after="0"/>
              <w:rPr>
                <w:sz w:val="17"/>
                <w:szCs w:val="17"/>
                <w:color w:val="auto"/>
              </w:rPr>
            </w:pPr>
          </w:p>
        </w:tc>
        <w:tc>
          <w:tcPr>
            <w:tcW w:w="2460" w:type="dxa"/>
            <w:vAlign w:val="bottom"/>
            <w:tcBorders>
              <w:top w:val="single" w:sz="8" w:color="FF0000"/>
              <w:bottom w:val="single" w:sz="8" w:color="FF0000"/>
              <w:right w:val="single" w:sz="8" w:color="FF0000"/>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4"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-164465</wp:posOffset>
            </wp:positionV>
            <wp:extent cx="132715" cy="149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715" cy="149860"/>
                    </a:xfrm>
                    <a:prstGeom prst="rect">
                      <a:avLst/>
                    </a:prstGeom>
                    <a:noFill/>
                  </pic:spPr>
                </pic:pic>
              </a:graphicData>
            </a:graphic>
          </wp:anchor>
        </w:drawing>
      </w:r>
    </w:p>
    <w:p>
      <w:pPr>
        <w:spacing w:after="0" w:line="15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10, 2026, Edesa Biotech, Inc. (the “Company”) entered into a Securities Purchase Agreement (the “Purchase Agreement”) for a private placement (the “Private Placement”) with certain investors (each, a “Purchaser” and collectively, the “Purchasers”). The closing of the Private Placement (the “Closing”) is expected to occur on June 15, 2026, subject to the satisfaction of customary closing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Purchasers have agreed to purchase, for an aggregate purchase price of approximately $3.5 million, an aggregate of 729,241 common shares (“Shares”), without par value, at a purchase price of $4.69 per Share for Purchasers other than the Company’s Chief Executive Officer, and $5.21 per Share for the Company’s Chief Executive Officer. The Company intends to use the net proceeds from the Private Placement to fund the continued advancement of the Company’s vitiligo program, the Company’s drug candidate, paridiprubart, and for working capital and general corporate purposes.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on June 10, 2026, the Company entered into a Registration Rights Agreement (the “Registration Rights Agreement”) with the Purchasers. Pursuant to the Registration Rights Agreement, the Company has agreed to prepare and file, as promptly as reasonably practicable and in any event no later than 45 days after the Closing, one or more registration statements with the Securities and Exchange Commission (the “SEC”) to register for resale the Shares, and to cause the applicable registration statements to become effective within the time periods set forth in the Registration Rights Agreement. The Company has granted the Purchasers customary indemnification rights in connection with the Registration Rights Agreement. The Purchasers have also granted the Company customary indemnification rights in connection with the Registration Rights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that were made solely for the benefit of the parties to the Purchase Agreement. Such representations, warranties and covenants (i) are intended as a way of allocating risk between the parties to the Purchase Agreement and not as statements of fact, and (ii) may apply standards of materiality in a way that is different from what may be viewed as material by shareholders of, or other investors in,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is only a summary of the terms of the Purchase Agreement and the Registration Rights Agreement, does not purport to be complete and is qualified in its entirety by reference to the full text of (i) the form of the Purchase Agreement, a copy of which is attached as Exhibit 10.1 to this Current Report on Form 8-K and (ii) the form of the Registration Rights Agreement, a copy of which is attached as Exhibit 10.2 to this Current Report on Form 8-K,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 regarding the securities to be sold and issued under the Purchase Agreement as set forth under Item 1.01 of this report is incorporated by reference under this Item 3.02.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described above under Item 1.01 have not been registered under the Securities Act of 1933, as amended (the “Securities Act”). Based in part upon the representations of the Purchasers in the Purchase Agreement, the Company relied on the exemption afforded by Section 4(a)(2) under the Securities Act and Rule 506(b)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any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11, 2026, the Company issued a press release announcing the Private Placement.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and in Exhibit 99.1 attached hereto will not be treated as “filed” for the purposes of Section 18 of the Securities Exchange Act of 1934, as amended (the “Exchange Act”), or otherwise subject to the liabilities of that section. This information will not be incorporated by reference into any filing under the Securities Act or into another filing under the Exchange Act, unless that filing expressly incorporates this information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5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6"/>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EE"/>
              </w:rPr>
              <w:t>Form of Purchase Agreement, dated June 10, 2026, by and among the Company and the Purchasers.</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76"/>
        </w:trPr>
        <w:tc>
          <w:tcPr>
            <w:tcW w:w="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Registration Rights Agreement, dated June 10, 2026, by and among the Company and the Purchasers.</w:t>
            </w:r>
          </w:p>
        </w:tc>
      </w:tr>
      <w:tr>
        <w:trPr>
          <w:trHeight w:val="20"/>
        </w:trPr>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dated June 11, 2026, announcing the Private Placement.</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6"/>
        </w:trPr>
        <w:tc>
          <w:tcPr>
            <w:tcW w:w="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600" w:val="left"/>
        </w:tabs>
        <w:rPr>
          <w:sz w:val="20"/>
          <w:szCs w:val="20"/>
          <w:color w:val="auto"/>
        </w:rPr>
      </w:pPr>
      <w:r>
        <w:rPr>
          <w:rFonts w:ascii="Times New Roman" w:cs="Times New Roman" w:eastAsia="Times New Roman" w:hAnsi="Times New Roman"/>
          <w:sz w:val="18"/>
          <w:szCs w:val="18"/>
          <w:color w:val="auto"/>
        </w:rPr>
        <w:t>Dated: June 11, 2026</w:t>
      </w:r>
      <w:r>
        <w:rPr>
          <w:sz w:val="20"/>
          <w:szCs w:val="20"/>
          <w:color w:val="auto"/>
        </w:rPr>
        <w:tab/>
      </w:r>
      <w:r>
        <w:rPr>
          <w:rFonts w:ascii="Times New Roman" w:cs="Times New Roman" w:eastAsia="Times New Roman" w:hAnsi="Times New Roman"/>
          <w:sz w:val="18"/>
          <w:szCs w:val="18"/>
          <w:b w:val="1"/>
          <w:bCs w:val="1"/>
          <w:color w:val="auto"/>
        </w:rPr>
        <w:t>EDESA BIOTECH, INC.</w:t>
      </w:r>
    </w:p>
    <w:p>
      <w:pPr>
        <w:spacing w:after="0" w:line="227" w:lineRule="exact"/>
        <w:rPr>
          <w:sz w:val="20"/>
          <w:szCs w:val="20"/>
          <w:color w:val="auto"/>
        </w:rPr>
      </w:pPr>
    </w:p>
    <w:p>
      <w:pPr>
        <w:ind w:left="662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Peter J. Weiler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18415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J. Weiler</w:t>
      </w:r>
    </w:p>
    <w:p>
      <w:pPr>
        <w:spacing w:after="0" w:line="23" w:lineRule="exact"/>
        <w:rPr>
          <w:sz w:val="20"/>
          <w:szCs w:val="20"/>
          <w:color w:val="auto"/>
        </w:rPr>
      </w:pPr>
    </w:p>
    <w:p>
      <w:pPr>
        <w:ind w:left="662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June 10, 2026, by and among Edesa Biotech, Inc., a British Columbia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Investors are executing and delivering this Agreement in reliance upon the exemption from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afforded by Section 4(a)(2) of the Securities Act and Rule 506 of Regulation D promulgated under the Securities Act and, for any Investor resident in a province or territory of Canada, pursuant to available exemptions from Canadian prospectus requirements under NI 45-106 (as defined below);</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sell to the Investors, and each Investor desires to purchase from the Company, severally and not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stated in this Agreement, (A) common shares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of the Company, without par value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and (B) pre-funded warrants to purchase Common Shares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Initial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Securities, the parties hereto will execute and deliver a Registration Rights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below),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pursuant to which the Company will agree to provide certain registration rights in respect of the Initial Shares and the Pre-Funded Warrant Shares (as defined below) under the Securities Act and applicable state securities laws.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severally and not jointly, agree as follows:</w:t>
      </w:r>
    </w:p>
    <w:p>
      <w:pPr>
        <w:spacing w:after="0" w:line="159" w:lineRule="exact"/>
        <w:rPr>
          <w:sz w:val="20"/>
          <w:szCs w:val="20"/>
          <w:color w:val="auto"/>
        </w:rPr>
      </w:pPr>
    </w:p>
    <w:p>
      <w:pPr>
        <w:ind w:left="1600" w:hanging="944"/>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Securities Laws</w:t>
      </w:r>
      <w:r>
        <w:rPr>
          <w:rFonts w:ascii="Times New Roman" w:cs="Times New Roman" w:eastAsia="Times New Roman" w:hAnsi="Times New Roman"/>
          <w:sz w:val="18"/>
          <w:szCs w:val="18"/>
          <w:color w:val="auto"/>
        </w:rPr>
        <w:t>” means all applicable securities laws in each of the jurisdictions in which an Investor resides and in each jurisdiction with securities laws otherwise applicable to such Investor, the respective regulations made thereunder, together with applicable published fee schedules, prescribed forms, policy statements, multilateral and national instruments, orders, blanket rulings, notices and other regulatory instruments of the securities commissions or other securities regulatory authorities of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Amended and Restated Articles of the Company, as amended to date, as currently in effect.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share options or other share-based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Canada or any day on which banking institutions in the State of New York or the City of Toronto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Commission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Securities Laws</w:t>
      </w:r>
      <w:r>
        <w:rPr>
          <w:rFonts w:ascii="Times New Roman" w:cs="Times New Roman" w:eastAsia="Times New Roman" w:hAnsi="Times New Roman"/>
          <w:sz w:val="18"/>
          <w:szCs w:val="18"/>
          <w:color w:val="auto"/>
        </w:rPr>
        <w:t>” means all Applicable Securities Laws in any province or territory of Canada.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 Equivalents</w:t>
      </w:r>
      <w:r>
        <w:rPr>
          <w:rFonts w:ascii="Times New Roman" w:cs="Times New Roman" w:eastAsia="Times New Roman" w:hAnsi="Times New Roman"/>
          <w:sz w:val="18"/>
          <w:szCs w:val="18"/>
          <w:color w:val="auto"/>
        </w:rPr>
        <w:t>” means any securities of the Company that would entitle the holder thereof to acquire at any time Common Shares, including, without limitation, any debt, preferred shares, rights, options, warrants or other instrument that is at any time convertible into or exchangeable for, or otherwise entitles the holder thereof to receive, Common Shares.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Pre-Funded Warrant Price</w:t>
      </w:r>
      <w:r>
        <w:rPr>
          <w:rFonts w:ascii="Times New Roman" w:cs="Times New Roman" w:eastAsia="Times New Roman" w:hAnsi="Times New Roman"/>
          <w:sz w:val="18"/>
          <w:szCs w:val="18"/>
          <w:color w:val="auto"/>
        </w:rPr>
        <w:t>” means $5.2099.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Share Price</w:t>
      </w:r>
      <w:r>
        <w:rPr>
          <w:rFonts w:ascii="Times New Roman" w:cs="Times New Roman" w:eastAsia="Times New Roman" w:hAnsi="Times New Roman"/>
          <w:sz w:val="18"/>
          <w:szCs w:val="18"/>
          <w:color w:val="auto"/>
        </w:rPr>
        <w:t>” means $5.21.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means, (i) if this Agreement is signed on a day that is not a Business Day or after 9:00 a.m. (New York City time) and before midnight (New York City time) on any Trading Day, no later than 9:01 a.m. (New York City time) on the Business Day immediately following the date hereof, and (ii) if this Agreement is signed between midnight (New York City time) and 9:00 a.m. (New York City time) on any Business Day, no later than 9:01 a.m. (New York City time) on the date hereof.</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Sections 3.28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means the representations and warranties made by the Company in </w:t>
      </w:r>
      <w:r>
        <w:rPr>
          <w:rFonts w:ascii="Times New Roman" w:cs="Times New Roman" w:eastAsia="Times New Roman" w:hAnsi="Times New Roman"/>
          <w:sz w:val="18"/>
          <w:szCs w:val="18"/>
          <w:u w:val="single" w:color="auto"/>
          <w:color w:val="auto"/>
        </w:rPr>
        <w:t>Sections 3.1 (Organization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 (Authorization)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 (Valid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 (No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 (SEC Filings;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3.18 (Nasdaq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3.19 (Sarbanes-Oxley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 (Price Stabilization of Common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3.24 (Investment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3.25 (General Solicitation;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Integration or 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3.26 (Brokers and 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3.27 (Reliance by the Investors)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3.29 (Other Covered Persons)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3.30 (No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Information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has the meaning set forth in Section 3.28.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financial condition, properties, assets, liabilities, shareholders’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any of the following markets or exchanges on which the Common Shares are listed or quoted for trading on the date in question, together with any successor thereto: the NYSE American, The New York Stock Exchange, The Nasdaq Global Market, The Nasdaq Global Select Market and The Nasdaq Capital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45-102</w:t>
      </w:r>
      <w:r>
        <w:rPr>
          <w:rFonts w:ascii="Times New Roman" w:cs="Times New Roman" w:eastAsia="Times New Roman" w:hAnsi="Times New Roman"/>
          <w:sz w:val="18"/>
          <w:szCs w:val="18"/>
          <w:color w:val="auto"/>
        </w:rPr>
        <w:t xml:space="preserve">” means National Instrument 45-102 - </w:t>
      </w:r>
      <w:r>
        <w:rPr>
          <w:rFonts w:ascii="Times New Roman" w:cs="Times New Roman" w:eastAsia="Times New Roman" w:hAnsi="Times New Roman"/>
          <w:sz w:val="18"/>
          <w:szCs w:val="18"/>
          <w:i w:val="1"/>
          <w:iCs w:val="1"/>
          <w:color w:val="auto"/>
        </w:rPr>
        <w:t>Resale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45-106</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Price</w:t>
      </w:r>
      <w:r>
        <w:rPr>
          <w:rFonts w:ascii="Times New Roman" w:cs="Times New Roman" w:eastAsia="Times New Roman" w:hAnsi="Times New Roman"/>
          <w:sz w:val="18"/>
          <w:szCs w:val="18"/>
          <w:color w:val="auto"/>
        </w:rPr>
        <w:t>” means $4.6899.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means (a) the Company’s most recently filed Annual Report on Form 10-K and (b) all Quarterly Reports on Form 10-Q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Reports on Form 8-K filed or furnished (as applicable) by the Company following the end of the most recent fiscal year for which an Annual Report on Form 10-K has been filed and prior to the execution of this Agreement, together in each case with any amendments or supplements thereto and any documents incorporated by reference therein or exhibits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means $4.69.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Initial Shares and the Pre-Funded Warrant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(a) all “short sales” as defined in Rule 200 promulgated under Regulation SHO under the Exchange Act, whether or not against the box, and all types of direct and indirect share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Common Shares).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shares, license, payroll, withholding, employment, social security, workers’ compensation, unemployment compensation, utility, severance, production, excise, stamp, occupation, premium, windfall profits, transfer and gains taxes and customs duties.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National Exchange is open for trading or quoting.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the Pre-Funded Warrants, and the Registration Rights Agreement.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Shares, Computershare Investor Services Inc. or such other financial institution that provides transfer agent services as the Company may engage from time to time.</w:t>
      </w:r>
    </w:p>
    <w:p>
      <w:pPr>
        <w:spacing w:after="0" w:line="159" w:lineRule="exact"/>
        <w:rPr>
          <w:sz w:val="20"/>
          <w:szCs w:val="20"/>
          <w:color w:val="auto"/>
        </w:rPr>
      </w:pPr>
    </w:p>
    <w:p>
      <w:pPr>
        <w:ind w:left="1600" w:hanging="944"/>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Investors, severally and not jointly, agree to purchase, the number and type of Securities, for the aggregate purchase price, set forth opposite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purchase price per Initial Share is equal to the Share Price; provided, that the purchase price per Initial Share for any Investor that is a director or executive officer of the Company shall be equal to the D&amp;O Share Price. The purchase price per Pre-Funded Warrant is equal to the Pre-Funded Warrant Price; provided, that the purchase price per Pre-Funded Warrant for any Investor that is a director or executive officer of the Company shall be equal to the D&amp;O Pre-Funded Warrant Price.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the closing of the purchase and sale of the Securities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shall occur remotely via the exchange of documents and signatures at such time as agreed to by the Company and the Investors but (i) in no event earlier than the second Business Day after the date of this Agreement and (ii) in no event later than the fifth Business Day after the date of this Agreement. At the Closing, the Securities shall be issued and registered in the name of the Investor, or in such nominee name(s) as designated by such Investor, representing the number of Securities to be purchased by the Investor at such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each case against payment to the Company of the purchase price therefor (the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Amount</w:t>
      </w:r>
      <w:r>
        <w:rPr>
          <w:rFonts w:ascii="Times New Roman" w:cs="Times New Roman" w:eastAsia="Times New Roman" w:hAnsi="Times New Roman"/>
          <w:sz w:val="18"/>
          <w:szCs w:val="18"/>
          <w:color w:val="auto"/>
        </w:rPr>
        <w:t>”) in full, by wire transfer to the Company of immediately available funds, at or prior to the Closing, in accordance with wire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provided by the Company to the Investors at least one Business Day prior to the Closing. On the Closing Date, the Company will instruct (A) the Transfer Agent to issue the Initial Shares in 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 hereof</w:t>
      </w:r>
      <w:r>
        <w:rPr>
          <w:rFonts w:ascii="Times New Roman" w:cs="Times New Roman" w:eastAsia="Times New Roman" w:hAnsi="Times New Roman"/>
          <w:sz w:val="18"/>
          <w:szCs w:val="18"/>
          <w:color w:val="auto"/>
        </w:rPr>
        <w:t xml:space="preserve">) and the Company shall provide evidence of such issuance from the Company’s Transfer Agent as promptly as reasonably practical following the Closing Date to each Investor and (B) deliver to such Investor (or such Investor’s designated custodian per its delivery instructions), or in such nominee name(s) as designated by such Investor, Pre-Funded Warrants exercisable for a number of Common Shares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respect to such Investor. In the event that the Closing has not occurred within one Business Day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such return of funds shall not terminate this Agreement or relieve such Investor of its obligation to purchase, or the Company of its obligation to issue and sell, the Securities at the Closing.</w:t>
      </w:r>
    </w:p>
    <w:p>
      <w:pPr>
        <w:spacing w:after="0" w:line="192" w:lineRule="exact"/>
        <w:rPr>
          <w:sz w:val="20"/>
          <w:szCs w:val="20"/>
          <w:color w:val="auto"/>
        </w:rPr>
      </w:pPr>
    </w:p>
    <w:p>
      <w:pPr>
        <w:jc w:val="both"/>
        <w:ind w:right="20" w:firstLine="656"/>
        <w:spacing w:after="0" w:line="261" w:lineRule="auto"/>
        <w:tabs>
          <w:tab w:leader="none" w:pos="19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Except as set forth in the SEC Reports (other than as to the Fundamental Representations, which are not so qualified), the Company hereby represents and warrants to each of the Investors that the statements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true and correct as of the date of this Agreement and as of the Closing Date (except for the representations and warranties that speak as of a specific date, which shall be made as of such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Province of British Columbia,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Company’s disclosure of its authorized, issued and outstanding capital shares in the SEC Reports containing such disclosure was accurate in all material respects as of the date indicated in such SEC Reports. All of the issued and outstanding Common Shares have been duly authorized and validly issued and are fully paid and non-assessable. None of the outstanding capital shares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(i) as disclosed in the SEC Reports or (ii) for Common Share Equivalents issued pursuant to a share-based compensation plan, there are no outstanding rights (including, without limitation, pre-emptive rights), warrants or options to acquire, or instruments convertible into or exchangeable for, any capital shares or other equity interest in the Company or any of its subsidiaries, or any contract, commitment, agreement, understanding or arrangement of any kind relating to the issuance of any capital shares of the Company or any such subsidiary, any such convertible or exchangeable securities or any such rights, warrants or options; the capital shares of the Company conform in all material respects to the description thereof contained in the SEC Reports; and all the outstanding capital shares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Common Shares issuable upon exercise of the Pre-Funded Warrants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All corporate action on the part of the Company, its officers, directors and shareholders necessary for the authorization of the Initial Shares and the Pre-Funded Warrant Shares, the authorization, execution, delivery and performance of the Transaction Agreements and the consummation of the transactions contemplated herein, including the issuance and sale of the Securities and the Pre-Funded Warrant Shares has been taken.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Securities Laws), and the holder of the Shares shall be entitled to all rights accorded to a holder of Common Shares.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Shares. The issuance and delivery of the Initial Shares and the Pre-Funded Warrants does not, and the exercise in full of the Pre-Funded Warrants and the issuance and delivery of the Pre-Funded Warrant Shares thereupon will not, (a) obligate the Company to offer to issue, or issue, Common Shares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offer and sale of the Securities to the Investors is, and will be, (i) exempt from the registration and prospectus delivery requirements of the Securities Act and (ii) exempt from (or otherwise not subject to) the registration and qualification, or prospectus requirements in the United States and/or Canada.</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Articles,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Assuming the accuracy of the representations and warranties of each Investor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or with any applicable securities regulatory authority in a province or territory of Canada pursuant to applicable Canadian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90"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SEC Filings; Financial Statements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3" w:lineRule="auto"/>
        <w:tabs>
          <w:tab w:leader="none" w:pos="28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forms, statements, certifications, reports and documents required to be filed or furnished, as applicable, by it with the SEC under Section 13, 14(a) and 15(d) of the Exchange Act for the one year preceding the date of this Agreement and is in compliance with General Instruction I.A.3 of Form S-3. As of the time it was filed or furnished, as applicable, with the SEC (or, if amended or superseded by a filing prior to the date of this Agreement, then on the date of such filing), each of the filed SEC Reports complied in all material respects with the applicable requirements of the Exchange Act or the Securities Act (as the case may be) and the rules and regulations promulgated thereunder, and, as of the time they were filed or furnished, as applicable, none of the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1952"/>
        <w:spacing w:after="0" w:line="253" w:lineRule="auto"/>
        <w:tabs>
          <w:tab w:leader="none" w:pos="297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SEC Reports (collectively,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comply in all material respects with applicable accounting requirements and the rules and regulations of the SEC with respect thereto as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therein specified (except as otherwise noted therein, and in the case of unaudited financial statements, as permitted by Form 10-Q of the SEC,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w:t>
      </w:r>
    </w:p>
    <w:p>
      <w:pPr>
        <w:spacing w:after="0" w:line="4" w:lineRule="exact"/>
        <w:rPr>
          <w:rFonts w:ascii="Times New Roman" w:cs="Times New Roman" w:eastAsia="Times New Roman" w:hAnsi="Times New Roman"/>
          <w:sz w:val="18"/>
          <w:szCs w:val="18"/>
          <w:color w:val="auto"/>
        </w:rPr>
      </w:pPr>
    </w:p>
    <w:p>
      <w:pPr>
        <w:jc w:val="both"/>
        <w:ind w:firstLine="8"/>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8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September 30, 2025,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656"/>
        <w:spacing w:after="0" w:line="282" w:lineRule="auto"/>
        <w:tabs>
          <w:tab w:leader="none" w:pos="1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Canada or any other geographic region in which the Company conducts business, provided that the Company is not disproportionately affected thereby;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ind w:firstLine="656"/>
        <w:spacing w:after="0" w:line="282" w:lineRule="auto"/>
        <w:tabs>
          <w:tab w:leader="none" w:pos="1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and its subsidiaries conduct business,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fires or other natural disasters, weather conditions, global pandemics, including the COVID-19 pandemic and related strains, epidemic or similar health emergency, and other force majeure events in the United States, Canada, or any other location, provided that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laws after the date of this Agreement;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ten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October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October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Nasdaq Stock Market</w:t>
      </w:r>
      <w:r>
        <w:rPr>
          <w:rFonts w:ascii="Times New Roman" w:cs="Times New Roman" w:eastAsia="Times New Roman" w:hAnsi="Times New Roman"/>
          <w:sz w:val="18"/>
          <w:szCs w:val="18"/>
          <w:color w:val="auto"/>
        </w:rPr>
        <w:t>. The issued and outstanding Common Shares are registered pursuant to Section 12(b) of the Exchange Act and are listed for trading on the Nasdaq Capital Market under the symbol “EDSA.” The Company is in compliance with all listing requirements of Nasdaq applicable to the Company. There is no suit, action, proceeding or investigation pending or, to the knowledge of the Company, threatened against the Company by Nasdaq or the SEC, respectively, to prohibit or terminate the listing of the Common Shares on the Nasdaq Capital Market or to deregister the Common Shares under the Exchange Act. The Company has taken no action that is designed to terminate the registration of the Common Shares under the Exchange Act.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is, and since October 1, 2025 has been, in compliance in all material respects with all applicable requirements of the Sarbanes-Oxley Act of 2002 and applicable rules and regulations promulgated by the SEC thereunder.</w:t>
      </w:r>
    </w:p>
    <w:p>
      <w:pPr>
        <w:spacing w:after="0" w:line="162"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Except as would not reasonably be expected to result in a Material Adverse Effect:</w:t>
      </w:r>
    </w:p>
    <w:p>
      <w:pPr>
        <w:spacing w:after="0" w:line="27" w:lineRule="exact"/>
        <w:rPr>
          <w:sz w:val="20"/>
          <w:szCs w:val="20"/>
          <w:color w:val="auto"/>
        </w:rPr>
      </w:pPr>
    </w:p>
    <w:p>
      <w:pPr>
        <w:jc w:val="both"/>
        <w:ind w:firstLine="8"/>
        <w:spacing w:after="0" w:line="251" w:lineRule="auto"/>
        <w:tabs>
          <w:tab w:leader="none" w:pos="2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or on behalf of, or sponsored by, the Company or its subsidiaries that are described in, or the results of which are referred to in, the SEC Reports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for the conduct of its business as described in the SEC Reports; (iv) neither the Company nor any of its subsidiaries has received any notice of, or correspondence from, any of the Regulatory Agencies requiring the termination or suspension of or imposing any clinical hold on any clinical trials that are described or referred to in the SEC Reports; and (v) the Company and its subsidiaries have each operated and currently are in compliance in all material respects with all applicable rules, regulations and policies of the Regulatory Agencies.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20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Accounting Controls and Disclosure Controls and Procedures</w:t>
      </w:r>
      <w:r>
        <w:rPr>
          <w:rFonts w:ascii="Times New Roman" w:cs="Times New Roman" w:eastAsia="Times New Roman" w:hAnsi="Times New Roman"/>
          <w:sz w:val="18"/>
          <w:szCs w:val="18"/>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Price Stabilization of Common Shares</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Shares to facilitate the sale or resale of the Shares.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U.S. Investment Company Act of 1940, as amended.</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General Solicitation; No Integration or Aggregation</w:t>
      </w:r>
      <w:r>
        <w:rPr>
          <w:rFonts w:ascii="Times New Roman" w:cs="Times New Roman" w:eastAsia="Times New Roman" w:hAnsi="Times New Roman"/>
          <w:sz w:val="18"/>
          <w:szCs w:val="18"/>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transactions contemplated hereby.</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Neither the Company nor any other Person authorized by the Company to act on its behalf has retained, utilized or been represented by any broker or finder in connection with the transactions contemplated by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xml:space="preserve">.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Neither the Company nor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the disqualification provisions of Rule 506(d)(1)(i-viii) of Regulation D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The Company has complied, to the extent applicable, with its disclosure obligations under Rule 506(e), and has furnished to the Investors a copy of any disclosures provided thereunder.</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between the Company and any Investor with respect to the transactions contemplated by the Transaction Agreements other than (i) as specified in the Transaction Agreements and (ii) any side letter agreements with any of the Investors, which side letters the Company has shared with all Investors.</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to the Company’s knowledge,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(i) a natural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(iv) any information that would qualify as “personal data,” “personal information” (or similar term) under the Privacy Laws (as defined below). To the Company’s knowledge, there have been no breaches, outages or unauthorized uses of or accesses to the Company’s IT Systems, Confidential Data, or Personal Data that would require notification under Privacy Laws.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including without limitation HIPAA,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shareholders, customers or suppliers of the Company, on the other hand, that is required to be described in the SEC Reports that is not so described or will not be so described in accordance with the Exchange Act.</w:t>
      </w:r>
    </w:p>
    <w:p>
      <w:pPr>
        <w:spacing w:after="0" w:line="176" w:lineRule="exact"/>
        <w:rPr>
          <w:sz w:val="20"/>
          <w:szCs w:val="20"/>
          <w:color w:val="auto"/>
        </w:rPr>
      </w:pPr>
    </w:p>
    <w:p>
      <w:pPr>
        <w:ind w:firstLine="656"/>
        <w:spacing w:after="0" w:line="312" w:lineRule="auto"/>
        <w:tabs>
          <w:tab w:leader="none" w:pos="160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Each Investor</w:t>
      </w:r>
      <w:r>
        <w:rPr>
          <w:rFonts w:ascii="Times New Roman" w:cs="Times New Roman" w:eastAsia="Times New Roman" w:hAnsi="Times New Roman"/>
          <w:sz w:val="17"/>
          <w:szCs w:val="17"/>
          <w:color w:val="auto"/>
        </w:rPr>
        <w:t xml:space="preserve">. Each Investor, severally for itself and not jointly with any other Investor, represents and warrants to the Company that the statements contained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are true and correct as of the date of this Agreement and the Closing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4.1</w:t>
            </w:r>
          </w:p>
        </w:tc>
        <w:tc>
          <w:tcPr>
            <w:tcW w:w="8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Organization. The Investor is duly organized, validly existing and in good standing under the laws of the jurisdiction of its</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37"/>
        </w:trPr>
        <w:tc>
          <w:tcPr>
            <w:tcW w:w="1124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color w:val="auto"/>
                <w:w w:val="99"/>
              </w:rPr>
              <w:t>organization and has the requisite power and authority to own, lease and operate its properties and to carry on its business as now conducted.</w:t>
            </w:r>
          </w:p>
        </w:tc>
      </w:tr>
      <w:tr>
        <w:trPr>
          <w:trHeight w:val="391"/>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4.2</w:t>
            </w:r>
          </w:p>
        </w:tc>
        <w:tc>
          <w:tcPr>
            <w:tcW w:w="8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Authorization. The Investor has all requisite corporate or similar power and authority to enter into this Agreement and the</w:t>
            </w:r>
          </w:p>
        </w:tc>
      </w:tr>
      <w:tr>
        <w:trPr>
          <w:trHeight w:val="20"/>
        </w:trPr>
        <w:tc>
          <w:tcPr>
            <w:tcW w:w="2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Transaction Agreements to which it will be a party and to carry out and perform its obligations hereunder and thereunder. All corporate, member or partnership action on the part of such Investor or its shareholders,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spacing w:after="0" w:line="18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The Investor’s residence (if an individual) or offices in which its investment decision with respect to the Securities was made (if an entity) are located at the Investor’s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except as otherwise communicated by the Investor to the Company.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Brokers and Finders. The Investor has not retained, utilized or been represented by any broker or finder in connection with</w:t>
            </w:r>
          </w:p>
        </w:tc>
      </w:tr>
      <w:tr>
        <w:trPr>
          <w:trHeight w:val="20"/>
        </w:trPr>
        <w:tc>
          <w:tcPr>
            <w:tcW w:w="226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transactions contemplated by this Agreement whose fees the Company would be required to pay.</w:t>
            </w:r>
          </w:p>
        </w:tc>
      </w:tr>
      <w:tr>
        <w:trPr>
          <w:trHeight w:val="392"/>
        </w:trPr>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4.6</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Investment Representations and Warranties.</w:t>
            </w:r>
          </w:p>
        </w:tc>
      </w:tr>
      <w:tr>
        <w:trPr>
          <w:trHeight w:val="20"/>
        </w:trPr>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952"/>
        <w:spacing w:after="0" w:line="254" w:lineRule="auto"/>
        <w:tabs>
          <w:tab w:leader="none" w:pos="28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30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Investor is resident in any province or territory of Canada or otherwise subject to the securities laws of Canada: (A) at the time such Investor was offered the Securities, the Investor was, and as of the date hereof is, an “accredited investor” as defined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45-106</w:t>
      </w:r>
      <w:r>
        <w:rPr>
          <w:rFonts w:ascii="Times New Roman" w:cs="Times New Roman" w:eastAsia="Times New Roman" w:hAnsi="Times New Roman"/>
          <w:sz w:val="18"/>
          <w:szCs w:val="18"/>
          <w:color w:val="auto"/>
        </w:rPr>
        <w:t>”) as promulgated by the Canadian Securities Administrators, or is qualified to rely on another exemption from the prospectus requirements contained therein; and (B) if the Investor, or any person for whom it is contracting hereunder, is a corporation or a partnership, syndicate, trust, association, or any other form of unincorporated organization or organized group of persons, the Investor or such person was not created and is not being used solely to permit purchases of or to hold securities without a prospectus in reliance on an exemption from Canadian prospectus requirements (including but not limited to the “Minimum Investment Amount” exemption provided under section 2.10 of NI 45-106 or as an accredited investor as described in paragraph (m) of the definition of "accredited investor" in section 1.1 of NI 45-106) and it pre-existed the offering of Securities and has a bona fide purpose other than investment in the Securities.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The Investor is purchasing the Securities solely for the Investor’s own account and not for the account of others, and not with a view to the resale or distribution of any part thereof in violation of the Securities Act or Canadian Securities Laws, and the Investor has no present intention of selling, granting any participation in, or otherwise distributing the same in violation of the Securities Act or Canadian Securities Laws without prejudice, however, to the Investor’s right at all times to sell or otherwise dispose of all or any part of such Securities in compliance with all Applicable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may only be disposed of in compliance with United States federal and state Securities Laws and Canadian Securities Laws or resold in the United States pursuant to a registration statement under the Securities Act or an available exemption from registration or resold in Canada pursuant to a prospectus filed in accordance with Canadian Securities Laws or an available exemption from the prospectus requirements. Nothing contained herein shall be deemed a representation or warranty by the Investor to hold the Securities for any period of time.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4" w:name="page25"/>
    <w:bookmarkEnd w:id="24"/>
    <w:p>
      <w:pPr>
        <w:ind w:left="1300"/>
        <w:spacing w:after="0"/>
        <w:tabs>
          <w:tab w:leader="none" w:pos="21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The Investor acknowledges that it can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Securities Not Registered; Transfer Restrictions;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8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Securities are being offered in a transaction not involving any public offering within the meaning of the Securities Act and are not being issued under a prospectus (as such term is defined in Canadian Securities Laws),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registration or prospectus requirement, and in each case in accordance with any Applicable Securities Laws. The Investor understands that the exemptions from registration afforded by Rule 144 (the provisions of which are known to it) promulgated under the Securities Act (and, for any Investor that is resident in a province or territory of Canada or is otherwise subject to Canadian Securities Laws, under NI 45-106)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the Company shall have no obligation to register any such purported sale, transfer or disposition which violates Applicable Securities Laws. In connection with any transfer of the Securities other than pursuant to an effective registration statement or Rule 144, to the Company or to an Affiliate of an Investor,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an Investor under this Agreement. The Investor acknowledges that no federal or state agency, or any applicable Canadian securities regulatory authorities (“</w:t>
      </w:r>
      <w:r>
        <w:rPr>
          <w:rFonts w:ascii="Times New Roman" w:cs="Times New Roman" w:eastAsia="Times New Roman" w:hAnsi="Times New Roman"/>
          <w:sz w:val="18"/>
          <w:szCs w:val="18"/>
          <w:b w:val="1"/>
          <w:bCs w:val="1"/>
          <w:color w:val="auto"/>
        </w:rPr>
        <w:t>Canadian Commission</w:t>
      </w:r>
      <w:r>
        <w:rPr>
          <w:rFonts w:ascii="Times New Roman" w:cs="Times New Roman" w:eastAsia="Times New Roman" w:hAnsi="Times New Roman"/>
          <w:sz w:val="18"/>
          <w:szCs w:val="18"/>
          <w:color w:val="auto"/>
        </w:rPr>
        <w:t>”) has passed upon or endorsed the merits of the offering of the Securities or made any findings or determination as to the fairness of this investment.</w:t>
      </w:r>
    </w:p>
    <w:p>
      <w:pPr>
        <w:spacing w:after="0" w:line="196" w:lineRule="exact"/>
        <w:rPr>
          <w:sz w:val="20"/>
          <w:szCs w:val="20"/>
          <w:color w:val="auto"/>
        </w:rPr>
      </w:pPr>
    </w:p>
    <w:p>
      <w:pPr>
        <w:ind w:right="20" w:firstLine="1952"/>
        <w:spacing w:after="0" w:line="282" w:lineRule="auto"/>
        <w:tabs>
          <w:tab w:leader="none" w:pos="29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any certificates or book entry notations evidencing the Securities may bear one or more legends in substantially the following form and substance:</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8" w:lineRule="exact"/>
        <w:rPr>
          <w:sz w:val="20"/>
          <w:szCs w:val="20"/>
          <w:color w:val="auto"/>
        </w:rPr>
      </w:pPr>
    </w:p>
    <w:p>
      <w:pPr>
        <w:jc w:val="both"/>
        <w:ind w:firstLine="1952"/>
        <w:spacing w:after="0" w:line="266" w:lineRule="auto"/>
        <w:tabs>
          <w:tab w:leader="none" w:pos="28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complying with Canadian Securities Laws, the Investor also understands and acknowledges that: the following legend restriction notation applies to the Securities, the Securities will be issued via book entry DRS statement, and this </w:t>
      </w: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will serve as written notice of such legend in accordance with NI 45-102:</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OCTOBER 16,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 further represents, warrants, acknowledges and agrees that the Securities will only be resold (a) to a purchaser that is not resident in Canada or (b) on or through the facilities of an exchange or market outside of Canada to a person that the Investor has no reason to believe is resident in Canada, and in all cases subject to Applicable Securities Laws in the United States.</w:t>
      </w:r>
    </w:p>
    <w:p>
      <w:pPr>
        <w:spacing w:after="0" w:line="176" w:lineRule="exact"/>
        <w:rPr>
          <w:sz w:val="20"/>
          <w:szCs w:val="20"/>
          <w:color w:val="auto"/>
        </w:rPr>
      </w:pPr>
    </w:p>
    <w:p>
      <w:pPr>
        <w:ind w:left="2840" w:hanging="888"/>
        <w:spacing w:after="0"/>
        <w:tabs>
          <w:tab w:leader="none" w:pos="2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Securities may contain a legend regarding affiliate status of the Investor, if applicable.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Investor acknowledges and agrees that the Investor is purchasing the Securities directly from the Company. The Investor became aware of this offering of the Securities solely by means of direct contact from the Company as a result of a pre-existing, substantive relationship with the Company, and/or its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and/or its respective representatives. Investor did not become aware of this offering of the Securities, nor were the Securities offered to Investor, by any other means, and none of the Company and/or its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has received and has had an adequate opportunity to review such information as such Investor deems necessary in order to make an investment decision with respect to the Securities, including, with respect to the Company. Without limiting the generality of the foregoing, each Investor acknowledges that copies of the SEC Reports are available on EDGAR at www.sec.gov. The Investor acknowledges and agrees that such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xml:space="preserve">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4.14, “</w:t>
      </w:r>
      <w:r>
        <w:rPr>
          <w:rFonts w:ascii="Times New Roman" w:cs="Times New Roman" w:eastAsia="Times New Roman" w:hAnsi="Times New Roman"/>
          <w:sz w:val="18"/>
          <w:szCs w:val="18"/>
          <w:b w:val="1"/>
          <w:bCs w:val="1"/>
          <w:color w:val="auto"/>
        </w:rPr>
        <w:t>Rule 506(d) Related Party</w:t>
      </w:r>
      <w:r>
        <w:rPr>
          <w:rFonts w:ascii="Times New Roman" w:cs="Times New Roman" w:eastAsia="Times New Roman" w:hAnsi="Times New Roman"/>
          <w:sz w:val="18"/>
          <w:szCs w:val="18"/>
          <w:color w:val="auto"/>
        </w:rPr>
        <w:t>” means a person or entity that is a beneficial owner of the Investor’s securities for purposes of Rule 506(d) of the Securities Act.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Control Person and Associated Restrictions.</w:t>
      </w:r>
      <w:r>
        <w:rPr>
          <w:rFonts w:ascii="Times New Roman" w:cs="Times New Roman" w:eastAsia="Times New Roman" w:hAnsi="Times New Roman"/>
          <w:sz w:val="18"/>
          <w:szCs w:val="18"/>
          <w:color w:val="auto"/>
        </w:rPr>
        <w:t xml:space="preserve"> The Investor is not a “control person” of the Company (within the meaning of Applicable Securities Laws, and which generally includes a person holding or controlling (alone or jointly or in concert with other persons) more than 20% of the Common Shares), and the purchase of the Securities contemplated by this Agreement will not result in the Investor becoming a “control person”.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ind w:left="1600" w:hanging="944"/>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are no longer accurate.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commercially reasonable efforts to maintain the listing and trading of its Common Shares on the Nasdaq Capital Market and, in accordance therewith, will use reasonable best efforts to comply in all material respects with the Company’s reporting, filing and other obligations under the rules and regulations of Nasdaq.</w:t>
      </w:r>
    </w:p>
    <w:p>
      <w:pPr>
        <w:spacing w:after="0" w:line="176"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Disclosure of Transactions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30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the Disclosure Time, issue a press release and/or file with the SEC a Current Report on Form 8-K (including, if applicable, all exhibits thereto,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any material non-public information concerning the Company disclosed to the Investors. Following the issuance or filing of the Disclosure Document,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any registration statement contemplated by the Registration Rights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Removal of Legends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5" w:lineRule="auto"/>
        <w:tabs>
          <w:tab w:leader="none" w:pos="28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receipt from the Investor by the Company and the Transfer Agent of customary representations and other documentation reasonably acceptable to the Company and the Transfer Agent in connection therewith, upon the earliest of such time as the Initial Shares or Pre-Funded Warrant Shares (i) have been registered under the Securities Act pursuant to an effective registration statement; (ii) have been sold pursuant to Rule 144 (in which case the provisions of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apply),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3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 and Commissions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1952"/>
        <w:spacing w:after="0" w:line="254" w:lineRule="auto"/>
        <w:tabs>
          <w:tab w:leader="none" w:pos="28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Indemnified Person’s fraud or willful misconduct.</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9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xml:space="preserve">. From the date of this Agreement until the earlier of (a) forty-five (45) days after the Closing Date and (b) the Business Day immediately following the effective date of the registration statement filed pursuant to the Registration Rights Agreement, the Company shall not (A) issue Common Shares or Common Share Equivalents, (B) effect a reverse share split, recapitalization, share consolidation, reclassification or similar transaction affecting the outstanding Common Shares or (C) file with the SEC a registration statement under the Securities Act relating to any Common Shares or Common Share Equivalents, except pursuant to the terms of the Registration Rights Agreement. Notwithstanding the foregoing,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apply to (i) the issuance of the Securities hereunder, (ii) the issuance of Common Shares or Common Share Equivalents upon the conversion, exercise or vesting of any securities of the Company outstanding on the date of this Agreement or outstanding pursuant to clause (iii) below, (iii) the issuance of any Common Shares or Common Share Equivalents pursuant to any Company share-based compensation plans or in accordance with Nasdaq Stock Market Rule 5635(c)(4), or (iv) the filing of a registration statement on Form S-8 under the Securities Act to register the offer and sale of securities on an equity incentive plan or employee share purchase plan.</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Reservation of Common Shares</w:t>
      </w:r>
      <w:r>
        <w:rPr>
          <w:rFonts w:ascii="Times New Roman" w:cs="Times New Roman" w:eastAsia="Times New Roman" w:hAnsi="Times New Roman"/>
          <w:sz w:val="18"/>
          <w:szCs w:val="18"/>
          <w:color w:val="auto"/>
        </w:rPr>
        <w:t>. As of the date of this Agreement, the Company has reserved and the Company shall continue to reserve and keep available at all times, free of preemptive rights, a sufficient number of Common Shares for the purpose of enabling the Company to issue the Pre-Funded Warrant Shares that are issuable upon the exercise of the Pre-Funded Warrants.</w:t>
      </w:r>
    </w:p>
    <w:p>
      <w:pPr>
        <w:spacing w:after="0" w:line="176" w:lineRule="exact"/>
        <w:rPr>
          <w:sz w:val="20"/>
          <w:szCs w:val="20"/>
          <w:color w:val="auto"/>
        </w:rPr>
      </w:pPr>
    </w:p>
    <w:p>
      <w:pPr>
        <w:ind w:left="1600" w:hanging="944"/>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76" w:lineRule="exact"/>
        <w:rPr>
          <w:sz w:val="20"/>
          <w:szCs w:val="20"/>
          <w:color w:val="auto"/>
        </w:rPr>
      </w:pPr>
    </w:p>
    <w:p>
      <w:pPr>
        <w:jc w:val="both"/>
        <w:ind w:firstLine="1952"/>
        <w:spacing w:after="0" w:line="256" w:lineRule="auto"/>
        <w:tabs>
          <w:tab w:leader="none" w:pos="28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ind w:firstLine="1952"/>
        <w:spacing w:after="0" w:line="282" w:lineRule="auto"/>
        <w:tabs>
          <w:tab w:leader="none" w:pos="30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8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61" w:lineRule="exact"/>
        <w:rPr>
          <w:rFonts w:ascii="Times New Roman" w:cs="Times New Roman" w:eastAsia="Times New Roman" w:hAnsi="Times New Roman"/>
          <w:sz w:val="18"/>
          <w:szCs w:val="18"/>
          <w:color w:val="auto"/>
        </w:rPr>
      </w:pPr>
    </w:p>
    <w:p>
      <w:pPr>
        <w:ind w:left="3020" w:hanging="1068"/>
        <w:spacing w:after="0"/>
        <w:tabs>
          <w:tab w:leader="none" w:pos="3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for the consummation of the purchase and sale of the Securities, all of which shall be in full force and effect.</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31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 of the Initial Shares at the Closing.</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8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this Agreement, no event or series of events shall have occurred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3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Investors the opinions of each of Lowenstein Sandler LLP, SEC counsel for the Company, and Fasken Martineau DuMoulin LLP, Canadian counsel for the Company, each dated as of the Closing Date, in customary form and substance reasonably agreed upon by the Company and the Investors.</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9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An authorized officer of the Company shall have delivered to the Investors at the Closing Date a certificate certifying that the conditions specified in </w:t>
      </w:r>
      <w:r>
        <w:rPr>
          <w:rFonts w:ascii="Times New Roman" w:cs="Times New Roman" w:eastAsia="Times New Roman" w:hAnsi="Times New Roman"/>
          <w:sz w:val="18"/>
          <w:szCs w:val="18"/>
          <w:u w:val="single" w:color="auto"/>
          <w:color w:val="auto"/>
        </w:rPr>
        <w:t>Sections 6.1(a) (Representations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6.1(c) (No Injunction)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6.1(d)(Consents)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6.1(e) (Transfer Agent)</w:t>
      </w:r>
      <w:r>
        <w:rPr>
          <w:rFonts w:ascii="Times New Roman" w:cs="Times New Roman" w:eastAsia="Times New Roman" w:hAnsi="Times New Roman"/>
          <w:sz w:val="18"/>
          <w:szCs w:val="18"/>
          <w:color w:val="auto"/>
        </w:rPr>
        <w:t xml:space="preserve">, 6.1(f) </w:t>
      </w: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6.1(k) (Listing Requirements)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6.1(m) (No Injunction)</w:t>
      </w:r>
      <w:r>
        <w:rPr>
          <w:rFonts w:ascii="Times New Roman" w:cs="Times New Roman" w:eastAsia="Times New Roman" w:hAnsi="Times New Roman"/>
          <w:sz w:val="18"/>
          <w:szCs w:val="18"/>
          <w:color w:val="auto"/>
        </w:rPr>
        <w:t xml:space="preserve"> of this Agreement have been fulfilled.</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3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Secretary of the Company shall have delivered to the Investors at the Closing Date a certificate certifying (i) the Articles and (ii) resolutions of the Board of Directors (or an authorized committee thereof) approving this Agreement, the other Transaction Agreements, the transactions contemplated by this Agreement and the issuance of the Securities and the Pre-Funded Warrant Shares.</w:t>
      </w:r>
    </w:p>
    <w:p>
      <w:pPr>
        <w:spacing w:after="0" w:line="175" w:lineRule="exact"/>
        <w:rPr>
          <w:rFonts w:ascii="Times New Roman" w:cs="Times New Roman" w:eastAsia="Times New Roman" w:hAnsi="Times New Roman"/>
          <w:sz w:val="18"/>
          <w:szCs w:val="18"/>
          <w:color w:val="auto"/>
        </w:rPr>
      </w:pPr>
    </w:p>
    <w:p>
      <w:pPr>
        <w:ind w:left="3360" w:hanging="1408"/>
        <w:spacing w:after="0"/>
        <w:tabs>
          <w:tab w:leader="none" w:pos="3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Company shall have executed and delivered the Registration Rights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30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 Up Agreements.</w:t>
      </w:r>
      <w:r>
        <w:rPr>
          <w:rFonts w:ascii="Times New Roman" w:cs="Times New Roman" w:eastAsia="Times New Roman" w:hAnsi="Times New Roman"/>
          <w:sz w:val="18"/>
          <w:szCs w:val="18"/>
          <w:color w:val="auto"/>
        </w:rPr>
        <w:t xml:space="preserve"> The Company shall have caused to be delivered to the Company a lock-up agreement, in form and substance reasonably acceptable to the Investors, duly executed by each of the Company’s executive officers and directors.</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9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Nasdaq, the SEC or any other governmental or regulatory body with respect to public trading in the Common Shares. The Common Shares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Shares and Nasdaq shall have raised no objection to such notice and the transactions contemplated hereby as of the Closing Date.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firstLine="1952"/>
        <w:spacing w:after="0" w:line="261" w:lineRule="auto"/>
        <w:tabs>
          <w:tab w:leader="none" w:pos="30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Except as may be agreed to among the Company and one or more Investors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other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176" w:lineRule="exact"/>
        <w:rPr>
          <w:sz w:val="20"/>
          <w:szCs w:val="20"/>
          <w:color w:val="auto"/>
        </w:rPr>
      </w:pPr>
    </w:p>
    <w:p>
      <w:pPr>
        <w:jc w:val="both"/>
        <w:ind w:firstLine="1952"/>
        <w:spacing w:after="0" w:line="261" w:lineRule="auto"/>
        <w:tabs>
          <w:tab w:leader="none" w:pos="28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30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8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8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Accredited Investor Certificate.</w:t>
      </w:r>
      <w:r>
        <w:rPr>
          <w:rFonts w:ascii="Times New Roman" w:cs="Times New Roman" w:eastAsia="Times New Roman" w:hAnsi="Times New Roman"/>
          <w:sz w:val="18"/>
          <w:szCs w:val="18"/>
          <w:color w:val="auto"/>
        </w:rPr>
        <w:t xml:space="preserve"> Each Investor resident in any province or territory of Canada or otherwise subject to Canadian Securities Laws shall have executed and delivered the “Canadian Accredited Investor Certificate” and “Risk Acknowledgement” (if applicable)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1952"/>
        <w:spacing w:after="0" w:line="266" w:lineRule="auto"/>
        <w:tabs>
          <w:tab w:leader="none" w:pos="296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Except as may be agreed to among the Company and such Investor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7.1</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The obligations of the Company, on the one hand, and the Investors, on the other hand, to effect the Closing</w:t>
            </w:r>
          </w:p>
        </w:tc>
      </w:tr>
      <w:tr>
        <w:trPr>
          <w:trHeight w:val="237"/>
        </w:trPr>
        <w:tc>
          <w:tcPr>
            <w:tcW w:w="2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9"/>
              </w:rPr>
              <w:t>shall terminate as follows:</w:t>
            </w:r>
          </w:p>
        </w:tc>
        <w:tc>
          <w:tcPr>
            <w:tcW w:w="880" w:type="dxa"/>
            <w:vAlign w:val="bottom"/>
            <w:tcBorders>
              <w:top w:val="single" w:sz="8" w:color="auto"/>
            </w:tcBorders>
          </w:tcPr>
          <w:p>
            <w:pPr>
              <w:spacing w:after="0"/>
              <w:rPr>
                <w:sz w:val="20"/>
                <w:szCs w:val="20"/>
                <w:color w:val="auto"/>
              </w:rPr>
            </w:pPr>
          </w:p>
        </w:tc>
        <w:tc>
          <w:tcPr>
            <w:tcW w:w="8040" w:type="dxa"/>
            <w:vAlign w:val="bottom"/>
          </w:tcPr>
          <w:p>
            <w:pPr>
              <w:spacing w:after="0"/>
              <w:rPr>
                <w:sz w:val="20"/>
                <w:szCs w:val="20"/>
                <w:color w:val="auto"/>
              </w:rPr>
            </w:pPr>
          </w:p>
        </w:tc>
      </w:tr>
    </w:tbl>
    <w:p>
      <w:pPr>
        <w:spacing w:after="0" w:line="198" w:lineRule="exact"/>
        <w:rPr>
          <w:sz w:val="20"/>
          <w:szCs w:val="20"/>
          <w:color w:val="auto"/>
        </w:rPr>
      </w:pPr>
    </w:p>
    <w:p>
      <w:pPr>
        <w:ind w:left="3160" w:hanging="1208"/>
        <w:spacing w:after="0"/>
        <w:tabs>
          <w:tab w:leader="none" w:pos="3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the Investors that agreed to purchase a majority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prior to the Closing;</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9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9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(with respect to itself only)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such Investor; or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8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an Investor (with respect to itself only) if the Closing has not occurred on or prior to the fifth Business Day following the date of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or the Investor of its obligations to effect the Closing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written notice thereof shall be given to the other Investors by the Company.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80" w:lineRule="exact"/>
        <w:rPr>
          <w:sz w:val="20"/>
          <w:szCs w:val="20"/>
          <w:color w:val="auto"/>
        </w:rPr>
      </w:pPr>
    </w:p>
    <w:p>
      <w:pPr>
        <w:ind w:left="1600" w:hanging="944"/>
        <w:spacing w:after="0"/>
        <w:tabs>
          <w:tab w:leader="none" w:pos="1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Investor review shall not be required for Company disclosures that are substantially consistent with prior Company disclosures.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Privacy.</w:t>
      </w:r>
      <w:r>
        <w:rPr>
          <w:rFonts w:ascii="Times New Roman" w:cs="Times New Roman" w:eastAsia="Times New Roman" w:hAnsi="Times New Roman"/>
          <w:sz w:val="18"/>
          <w:szCs w:val="18"/>
          <w:color w:val="auto"/>
        </w:rPr>
        <w:t xml:space="preserve"> This Agreement requires the Investor to provide certain personal information to the Company. By accepting this Agreement, the Company agrees that it will not collect any information about the Investor except that which is provided by the Investor in this Agreement (collectively, the “</w:t>
      </w:r>
      <w:r>
        <w:rPr>
          <w:rFonts w:ascii="Times New Roman" w:cs="Times New Roman" w:eastAsia="Times New Roman" w:hAnsi="Times New Roman"/>
          <w:sz w:val="18"/>
          <w:szCs w:val="18"/>
          <w:b w:val="1"/>
          <w:bCs w:val="1"/>
          <w:color w:val="auto"/>
        </w:rPr>
        <w:t>Investor Information</w:t>
      </w:r>
      <w:r>
        <w:rPr>
          <w:rFonts w:ascii="Times New Roman" w:cs="Times New Roman" w:eastAsia="Times New Roman" w:hAnsi="Times New Roman"/>
          <w:sz w:val="18"/>
          <w:szCs w:val="18"/>
          <w:color w:val="auto"/>
        </w:rPr>
        <w:t xml:space="preserve">”). The Company also agrees that it will keep all Investor Information confidential, and will use and disclose the Investor Information only for the purposes described below, unless (a) the Company informs the Investor of a proposed use or disclosure of the Investor Information and the Investor consents; or (b) the use or disclosure is permitted by law to be made without the consent of the Investor, or is required by law, or by the by-laws, rules, regulations or policies or any regulatory organization governing the Company. By signing this Agreement, the Investor agrees that the Company may collect and use the Investor Information for the following purposes and consents to the following: (c) the Company delivering to the Canadian Commissions any personal information provided by Investor respecting itself including such Investor’s full name, residential address and telephone number, the amount of securities purchased, the purchase price, the exemption relied on by the Investor and the date of distribution, such information being collected indirectly by the Canadian Commissions under the authority granted to in Applicable Securities Laws for the purposes of the administration and enforcement of Applicable Securities Laws in British Columbia, (d) to provide the Investor with information; (e) completing the offering of Securities contemplated hereby, including without limitation, determining the Investor’s eligibility to purchase the Securities under applicable securities legislation, preparing and registering certificates (or other evidence of subscription and purchase) representing the Common Shares to be issued to the Investor, and to otherwise administer the Investor’s investment in the Company in accordance with the terms of this Agreement; (f) for use and disclosure for income tax related purposes, including without limitation, where required by law, disclosure to Canada Revenue Agency; (g) for disclosure to a governmental or other authority to which the disclosure is required by court order or subpoena compelling such disclosure and where there is no reasonable alternative to such disclosure; (h) for disclosure to professional advisers of the Company in connection with the performance of their professional services; (i) for disclosure to any person where such disclosure is necessary for legitimate business reasons and is made with the Investor’s prior written consent; (j) for disclosure to a court determining the rights of the parties under this Agreement; and (k) for use and disclosure as otherwise required or permitted by law. The Investor acknowledges and consents to the Company retaining the personal information for as long as permitted or required by applicable law or business practices. The Investor consents to the indirect collection of such information by the Canadian Commissions and acknowledges that it may contact the following public official in British Columbia with respect to questions about the British Columbia Securities Commission’s indirect collection of such information at the following address and telephone number: British Columbia Securities Commission: P.O. Box 10142, Pacific Centre 701 West Georgia Street Vancouver, British Columbia V7Y 1L2 Inquiries: (604) 899-6854 Toll free in Canada: 1-800-373-6393 Facsimile: (604) 899-6581 Email: </w:t>
      </w:r>
      <w:r>
        <w:rPr>
          <w:rFonts w:ascii="Times New Roman" w:cs="Times New Roman" w:eastAsia="Times New Roman" w:hAnsi="Times New Roman"/>
          <w:sz w:val="18"/>
          <w:szCs w:val="18"/>
          <w:u w:val="single" w:color="auto"/>
          <w:color w:val="auto"/>
        </w:rPr>
        <w:t>inquiries@bcsc.bc.ca</w:t>
      </w:r>
      <w:r>
        <w:rPr>
          <w:rFonts w:ascii="Times New Roman" w:cs="Times New Roman" w:eastAsia="Times New Roman" w:hAnsi="Times New Roman"/>
          <w:sz w:val="18"/>
          <w:szCs w:val="18"/>
          <w:color w:val="auto"/>
        </w:rPr>
        <w: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83" w:lineRule="exact"/>
        <w:rPr>
          <w:sz w:val="20"/>
          <w:szCs w:val="20"/>
          <w:color w:val="auto"/>
        </w:rPr>
      </w:pPr>
    </w:p>
    <w:p>
      <w:pPr>
        <w:ind w:left="2820" w:hanging="868"/>
        <w:spacing w:after="0"/>
        <w:tabs>
          <w:tab w:leader="none" w:pos="2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Edesa Biotech,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100 Spy Court</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Markham, ON, L3R 5H6 Canada</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Steven M. Skolnick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sskolnick@lowenstein.com</w:t>
      </w:r>
    </w:p>
    <w:p>
      <w:pPr>
        <w:spacing w:after="0" w:line="207" w:lineRule="exact"/>
        <w:rPr>
          <w:sz w:val="20"/>
          <w:szCs w:val="20"/>
          <w:color w:val="auto"/>
        </w:rPr>
      </w:pPr>
    </w:p>
    <w:p>
      <w:pPr>
        <w:ind w:firstLine="1952"/>
        <w:spacing w:after="0" w:line="282" w:lineRule="auto"/>
        <w:tabs>
          <w:tab w:leader="none" w:pos="28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address or e-mail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address as subsequently modified by written notice given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Investor hereby consents to the delivery of any shareholder notice pursuant to the methods prescribed under Section 7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at the e-mail address set forth below the Investor’s name on the signature page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3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u w:val="single" w:color="auto"/>
          <w:color w:val="auto"/>
        </w:rPr>
        <w:t>Governing Law; Submission to Jurisdiction; Venue; Waiver of Trial by Jury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66" w:lineRule="auto"/>
        <w:tabs>
          <w:tab w:leader="none" w:pos="28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British Columbia law may apply.</w:t>
      </w:r>
    </w:p>
    <w:p>
      <w:pPr>
        <w:spacing w:after="0" w:line="17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Investors hereby irrevocably and unconditionally:</w:t>
      </w:r>
    </w:p>
    <w:p>
      <w:pPr>
        <w:spacing w:after="0" w:line="225" w:lineRule="exact"/>
        <w:rPr>
          <w:sz w:val="20"/>
          <w:szCs w:val="20"/>
          <w:color w:val="auto"/>
        </w:rPr>
      </w:pPr>
    </w:p>
    <w:p>
      <w:pPr>
        <w:jc w:val="both"/>
        <w:ind w:firstLine="1952"/>
        <w:spacing w:after="0" w:line="266" w:lineRule="auto"/>
        <w:tabs>
          <w:tab w:leader="none" w:pos="32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30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94"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9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Investor covenants that until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31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and the Registration Rights Agreement with the SEC as exhibits to a periodic report or a registration statement of the Company.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explicitly set forth in this Agreement. Notwithstanding the foregoing, the Indemnified Persons are intended third-party beneficiaries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Independent Nature of Investors’ Obligations and Right.</w:t>
      </w:r>
      <w:r>
        <w:rPr>
          <w:rFonts w:ascii="Times New Roman" w:cs="Times New Roman" w:eastAsia="Times New Roman" w:hAnsi="Times New Roman"/>
          <w:sz w:val="18"/>
          <w:szCs w:val="18"/>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Lowenstein Sandler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EDESA BIOTECH,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Pardeep Nijhawan</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2697480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479"/>
          </w:cols>
          <w:pgMar w:left="980" w:top="792"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Number of Initial Shares: ______</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Number of Pre-Funded Warrants:_____</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1885950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479"/>
          </w:cols>
          <w:pgMar w:left="980" w:top="792"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CANADIAN ACCREDITED INVESTOR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10, 2026, is entered into by and among Edesa Biotech,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British Columbia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firstLine="656"/>
        <w:spacing w:after="0" w:line="256" w:lineRule="auto"/>
        <w:tabs>
          <w:tab w:leader="none" w:pos="15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the Purchase Agreement, the Company has agreed to issue to the Investors, and the Investors have agreed to purchase, severally and not jointly, an aggregate of up to $3.5 million of (x) common shares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of the Company, no par value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and/or (y) pre-funded warrants to purchase shares of Common Shares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each case, pursuant to the Purchase Agreement. The Initial Shares and the Common Shares issuable upon exercise of the Pre-Funded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without giving effect to any limitations on exercise of the Pre-Funded Warrants, and assuming all of the pre-funded warrants are exercised for cash, are collectively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5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Investors hereby agree as follows:</w:t>
      </w:r>
    </w:p>
    <w:p>
      <w:pPr>
        <w:spacing w:after="0" w:line="15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firstLine="1304"/>
        <w:spacing w:after="0" w:line="286" w:lineRule="auto"/>
        <w:tabs>
          <w:tab w:leader="none" w:pos="21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24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both"/>
        <w:ind w:firstLine="1304"/>
        <w:spacing w:after="0" w:line="259" w:lineRule="auto"/>
        <w:tabs>
          <w:tab w:leader="none" w:pos="215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and any Common Shares issued or issuable with respect to the Shares as a result of any share split or subdivision, share dividend, recapitalization, exchange or similar event. Registrable Securities shall cease to be Registrable Securities upon the earliest to occur of (A) the date on which the Investors shall have resold all the Registrable Securities covered by the Registration Statement and</w:t>
      </w:r>
    </w:p>
    <w:p>
      <w:pPr>
        <w:jc w:val="both"/>
        <w:ind w:firstLine="8"/>
        <w:spacing w:after="0" w:line="255" w:lineRule="auto"/>
        <w:tabs>
          <w:tab w:leader="none" w:pos="3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such securities become eligible for resale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39"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19"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2131"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the Investors’ disposition of the Registrable Securities.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22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45 days after the Closing Date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prepare and file with the SEC an initial Registration Statement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xml:space="preserve">”) covering the resale of all Registrable Securities. Before filing the Registration Statement, the Company shall furnish to the Investors a copy of the Registration Statement. The Investors and their counsel shall have at least three (3)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Such Registration Statement also shall cover, to the extent allowable under the Securities Act and the rules promulgated thereunder (including Rule 416), such indeterminate number of additional Common Shares resulting from share splits, share dividends or similar transactions with respect to the Registrable Securities. Such Registration Statement shall not include any Common Shares or other securities for the account of any other holder of securities of the Company without the prior written consent of the Required Investors. The Company shall (x) use commercially reasonable efforts to address in each such document prior to being so filed with the SEC such comments as the Investor or its counsel reasonably propose, and (y) not file any Registration Statement or Prospectus or any amendment or supplement thereto containing information regarding an Investor to which such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both"/>
        <w:ind w:firstLine="1304"/>
        <w:spacing w:after="0" w:line="252" w:lineRule="auto"/>
        <w:tabs>
          <w:tab w:leader="none" w:pos="20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reasonable best efforts to have the Initial Registration Statement and any amendment declared effective by the SEC at the earliest possible date but no later than the earlier of (a) the 90th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provided, however, that following the Filing Deadline, the Effectiveness Deadline shall be extended by the same number of Business Days on which the SEC remains closed in the event of a government shutdown resulting in the SEC’s inability to review or declare effective the Initial Registration Statement during such time.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 Business Days after the necessity therefor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reasonable best efforts to have such amendment and/or New Registration Statement become effective as soon as reasonably practicable following the filing thereof but no later than the earlier of (a) the 90th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 Registration Effectiveness Deadline</w:t>
      </w:r>
      <w:r>
        <w:rPr>
          <w:rFonts w:ascii="Times New Roman" w:cs="Times New Roman" w:eastAsia="Times New Roman" w:hAnsi="Times New Roman"/>
          <w:sz w:val="18"/>
          <w:szCs w:val="18"/>
          <w:color w:val="auto"/>
        </w:rPr>
        <w:t xml:space="preserve">”), provided, however, that following the New Registration Filing Deadline, the New Registration Effectiveness Deadline shall be extended by the same number of Business Days on which the SEC remains closed in the event of a government shutdown resulting in the SEC’s inability to review or declare effective the New Registration Statement during such time.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apply to the New Registration Statement, except as modified hereby.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jc w:val="both"/>
        <w:ind w:firstLine="1304"/>
        <w:spacing w:after="0" w:line="253" w:lineRule="auto"/>
        <w:tabs>
          <w:tab w:leader="none" w:pos="215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xml:space="preserve"> On no more than two occasions and for not more than 60 consecutive days or for a total of not more than 90 days in any 12 month period, the Company may delay the effectiveness of the Initial Registration Statement or any other Registration Statement, or suspend the use of any Prospectus, in the event that the Company or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Cut Back Shares</w:t>
      </w:r>
      <w:r>
        <w:rPr>
          <w:rFonts w:ascii="Times New Roman" w:cs="Times New Roman" w:eastAsia="Times New Roman" w:hAnsi="Times New Roman"/>
          <w:sz w:val="18"/>
          <w:szCs w:val="18"/>
          <w:color w:val="auto"/>
        </w:rPr>
        <w:t>”) and/or</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ind w:left="980" w:hanging="324"/>
        <w:spacing w:after="0"/>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80" w:lineRule="exact"/>
        <w:rPr>
          <w:sz w:val="20"/>
          <w:szCs w:val="20"/>
          <w:color w:val="auto"/>
        </w:rPr>
      </w:pPr>
    </w:p>
    <w:p>
      <w:pPr>
        <w:jc w:val="both"/>
        <w:ind w:firstLine="1304"/>
        <w:spacing w:after="0" w:line="258" w:lineRule="auto"/>
        <w:tabs>
          <w:tab w:leader="none" w:pos="22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Investors.</w:t>
      </w:r>
    </w:p>
    <w:p>
      <w:pPr>
        <w:spacing w:after="0" w:line="183" w:lineRule="exact"/>
        <w:rPr>
          <w:rFonts w:ascii="Times New Roman" w:cs="Times New Roman" w:eastAsia="Times New Roman" w:hAnsi="Times New Roman"/>
          <w:sz w:val="18"/>
          <w:szCs w:val="18"/>
          <w:color w:val="auto"/>
        </w:rPr>
      </w:pPr>
    </w:p>
    <w:p>
      <w:pPr>
        <w:jc w:val="both"/>
        <w:ind w:firstLine="1304"/>
        <w:spacing w:after="0" w:line="277" w:lineRule="auto"/>
        <w:tabs>
          <w:tab w:leader="none" w:pos="214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The Company will prepare and file with the SEC any amendments, post-effective amendments or supplements to the Initial Registration Statement, any New Registration Statement or any Prospectus, as applicable, that, (x)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with respect to the distribution of all of the Registrable Securities covered thereby, or (y) in the reasonable opinion of the Investors and the Company, as may be necessary or advisable in connection with any acquisition or sale of Registrable Securities by the Investors.</w:t>
      </w:r>
    </w:p>
    <w:p>
      <w:pPr>
        <w:spacing w:after="0" w:line="167" w:lineRule="exact"/>
        <w:rPr>
          <w:rFonts w:ascii="Times New Roman" w:cs="Times New Roman" w:eastAsia="Times New Roman" w:hAnsi="Times New Roman"/>
          <w:sz w:val="17"/>
          <w:szCs w:val="17"/>
          <w:color w:val="auto"/>
        </w:rPr>
      </w:pPr>
    </w:p>
    <w:p>
      <w:pPr>
        <w:jc w:val="both"/>
        <w:ind w:firstLine="1304"/>
        <w:spacing w:after="0" w:line="258" w:lineRule="auto"/>
        <w:tabs>
          <w:tab w:leader="none" w:pos="24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will furnish, upon request,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both"/>
        <w:ind w:firstLine="1304"/>
        <w:spacing w:after="0" w:line="257" w:lineRule="auto"/>
        <w:tabs>
          <w:tab w:leader="none" w:pos="228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clauses (i) through (iii)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3(e)</w:t>
      </w:r>
      <w:r>
        <w:rPr>
          <w:rFonts w:ascii="Times New Roman" w:cs="Times New Roman" w:eastAsia="Times New Roman" w:hAnsi="Times New Roman"/>
          <w:sz w:val="18"/>
          <w:szCs w:val="18"/>
          <w:color w:val="auto"/>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resale of Registrable Securities.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3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covered by a Registration Statement to be listed on the Nasdaq Capital Market.</w:t>
      </w:r>
    </w:p>
    <w:p>
      <w:pPr>
        <w:spacing w:after="0" w:line="161" w:lineRule="exact"/>
        <w:rPr>
          <w:rFonts w:ascii="Times New Roman" w:cs="Times New Roman" w:eastAsia="Times New Roman" w:hAnsi="Times New Roman"/>
          <w:sz w:val="18"/>
          <w:szCs w:val="18"/>
          <w:color w:val="auto"/>
        </w:rPr>
      </w:pPr>
    </w:p>
    <w:p>
      <w:pPr>
        <w:jc w:val="both"/>
        <w:ind w:firstLine="1304"/>
        <w:spacing w:after="0" w:line="241" w:lineRule="auto"/>
        <w:tabs>
          <w:tab w:leader="none" w:pos="223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subsection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w:t>
      </w:r>
    </w:p>
    <w:p>
      <w:pPr>
        <w:spacing w:after="0" w:line="7"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such Registration Statement,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end of such fourth fiscal quarter).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ind w:firstLine="1304"/>
        <w:spacing w:after="0" w:line="256" w:lineRule="auto"/>
        <w:tabs>
          <w:tab w:leader="none" w:pos="2289"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its reasonable best efforts to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9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Investors the benefits of Rule 144 (or its successor rule) and any other rule or regulation of the SEC that may at any time permit the Investors to sell Common Shares to the public without registration, the Company covenants and agrees to: (i) make and keep adequate current public information available, as those terms are understood and defined in Rule 144, until the earlier of</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5"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share certificates through the use of The Depository Trust Company’s Direct Registration System.</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125"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connection with the registration of the Registrable Securities. If the Company has not received such completed Questionnaire from an Investor within three Business Days of the Company’s request, the Company may file the Registration Statement without including such Investor’s Registrable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85"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Each Investor, severally and not jointly with any other Investor, agrees that, upon receipt of any notice from the Company of the existence of an Allowed Delay or a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Common Shares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jc w:val="both"/>
        <w:ind w:firstLine="1304"/>
        <w:spacing w:after="0" w:line="261" w:lineRule="auto"/>
        <w:tabs>
          <w:tab w:leader="none" w:pos="216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17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1" w:lineRule="auto"/>
        <w:tabs>
          <w:tab w:leader="none" w:pos="21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ind w:firstLine="1304"/>
        <w:spacing w:after="0" w:line="253" w:lineRule="auto"/>
        <w:tabs>
          <w:tab w:leader="none" w:pos="23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losses, claims, damages, liabilities and expenses (including reasonable attorney fees) resulting from any untrue statement or alleged untrue statement or omission or alleged omission of any material fact contained in any Registration Statement,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1" w:lineRule="auto"/>
        <w:tabs>
          <w:tab w:leader="none" w:pos="21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jc w:val="both"/>
        <w:ind w:firstLine="1304"/>
        <w:spacing w:after="0" w:line="261" w:lineRule="auto"/>
        <w:tabs>
          <w:tab w:leader="none" w:pos="21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19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 Investor may transfer or assign its rights hereunder, in whole or from time to time in part, to one or more Persons in connection with the transfer of Registrable Securities (including Registrable Securities issuable upon exercise of Pre-Funded Warrants)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Investor and its successors and permitted assigns.</w:t>
      </w:r>
    </w:p>
    <w:p>
      <w:pPr>
        <w:spacing w:after="0" w:line="221"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(3) any amendments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188"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22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ind w:left="2940" w:hanging="988"/>
        <w:spacing w:after="0"/>
        <w:tabs>
          <w:tab w:leader="none" w:pos="2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Edesa Biotech,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100 Spy Court</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Markham, ON, L3R 5H6 Canada</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Steven M. Skolnick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sskolnick@lowenstein.com</w:t>
      </w:r>
    </w:p>
    <w:p>
      <w:pPr>
        <w:spacing w:after="0" w:line="207" w:lineRule="exact"/>
        <w:rPr>
          <w:sz w:val="20"/>
          <w:szCs w:val="20"/>
          <w:color w:val="auto"/>
        </w:rPr>
      </w:pPr>
    </w:p>
    <w:p>
      <w:pPr>
        <w:ind w:left="660" w:firstLine="1292"/>
        <w:spacing w:after="0" w:line="282" w:lineRule="auto"/>
        <w:tabs>
          <w:tab w:leader="none" w:pos="30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jc w:val="both"/>
        <w:ind w:firstLine="1304"/>
        <w:spacing w:after="0" w:line="256" w:lineRule="auto"/>
        <w:tabs>
          <w:tab w:leader="none" w:pos="21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Investor hereby consents to the delivery of any shareholder notice pursuant to the methods prescribed under Section 7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at the e-mail address set forth below the Investor’s name on the signature page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3" w:lineRule="exact"/>
        <w:rPr>
          <w:rFonts w:ascii="Times New Roman" w:cs="Times New Roman" w:eastAsia="Times New Roman" w:hAnsi="Times New Roman"/>
          <w:sz w:val="18"/>
          <w:szCs w:val="18"/>
          <w:color w:val="auto"/>
        </w:rPr>
      </w:pPr>
    </w:p>
    <w:p>
      <w:pPr>
        <w:ind w:left="2340" w:hanging="1036"/>
        <w:spacing w:after="0"/>
        <w:tabs>
          <w:tab w:leader="none" w:pos="2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of the Purchase Agreement are incorporated by reference herein </w:t>
      </w:r>
      <w:r>
        <w:rPr>
          <w:rFonts w:ascii="Times New Roman" w:cs="Times New Roman" w:eastAsia="Times New Roman" w:hAnsi="Times New Roman"/>
          <w:sz w:val="18"/>
          <w:szCs w:val="18"/>
          <w:i w:val="1"/>
          <w:iCs w:val="1"/>
          <w:color w:val="auto"/>
        </w:rPr>
        <w:t>mutatis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17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jc w:val="both"/>
        <w:ind w:firstLine="1304"/>
        <w:spacing w:after="0" w:line="266" w:lineRule="auto"/>
        <w:tabs>
          <w:tab w:leader="none" w:pos="21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1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shareholder,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shareholder,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the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EDESA BIOTECH,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1342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Pardeep Nijhawan</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00"/>
          </w:cols>
          <w:pgMar w:left="320" w:top="792" w:right="5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1342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134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1342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40"/>
          </w:cols>
          <w:pgMar w:left="320" w:top="792" w:right="8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shareholders, which as used herein includes donees, pledgees, transferees or other successors-in-interest selling common shares or interests in common shares received after the date of this prospectus from a selling shareholder as a gift, pledge, partnership distribution or other transfer, may, from time to time, sell, transfer or otherwise dispose of any or all of their common shares or interests in common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disposing of shares or interests therein:</w:t>
      </w:r>
    </w:p>
    <w:p>
      <w:pPr>
        <w:spacing w:after="0" w:line="225" w:lineRule="exact"/>
        <w:rPr>
          <w:sz w:val="20"/>
          <w:szCs w:val="20"/>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shareholders or other equityholders of the selling shareholders;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common shares in other circumstances, in which case the transferees, pledgees or other successors in interest will be the selling shareholders for purposes of this prospectus.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63" w:name="page64"/>
    <w:bookmarkEnd w:id="63"/>
    <w:p>
      <w:pPr>
        <w:ind w:right="16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shares or interests therein, the selling shareholders may enter into hedging transactions with broker-dealers or other financial institutions, which may in turn engage in short sales of the common shares in the course of hedging the positions they assume. The selling shareholders may also sell our common shares short and deliver these securities to close out their short positions, or loan or pledge the common shares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The aggregate proceeds to the selling shareholders from the sale of the common shares offered by them will be the purchase price of the common shares less discounts or commissions, if any. Each of the selling shareholders reserves the right to accept and, together with their agents from time to time, to reject, in whole or in part, any proposed purchase of common shares to be made directly or through agents. We will not receive any of the proceeds from this offering. Upon any exercise of the pre-funded warrants by payment of cash, however, we will receive the exercise price of the pre-funded warrants.</w:t>
      </w:r>
    </w:p>
    <w:p>
      <w:pPr>
        <w:spacing w:after="0" w:line="1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selling shareholders and any underwriters, broker-dealers or agents that participate in the sale of the common shares or interests therein may be “underwriters” within the meaning of Section 2(a)(11) of the Securities Act (it being understood that the selling shareholders shall not be deemed to be underwriters solely as a result of their participation in this offering). Any discounts, commissions, concessions or profit they earn on any resale of the shares may be underwriting discounts and commissions under the Securities Act. Selling shareholders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the extent required, the common shares to be sold, the names of the selling shareholders,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shares may be sold in these jurisdictions only through registered or licensed brokers or dealers. In addition, in some states the common shares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ind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shareholders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shareholders to use commercially reasonable efforts to cause the registration statement of which this prospectus constitutes a part to become effective and to remain continuously effective until the earlier of: (i) the date on which the selling shareholders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shareholders without registration and without regard to any volume or manner-of-sale limitations and without current public information pursuant to Rule 144 under the Securities Act or any other rule of similar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-1788160</wp:posOffset>
            </wp:positionV>
            <wp:extent cx="63093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-1094105</wp:posOffset>
            </wp:positionV>
            <wp:extent cx="63093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-399415</wp:posOffset>
            </wp:positionV>
            <wp:extent cx="63093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6" w:name="page67"/>
    <w:bookmarkEnd w:id="66"/>
    <w:p>
      <w:pPr>
        <w:ind w:left="180" w:hanging="172"/>
        <w:spacing w:after="0"/>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3(b), the Commission’s staff has indicated that you should be identified as an underwriter in the Registration Statement.</w:t>
      </w:r>
    </w:p>
    <w:p>
      <w:pPr>
        <w:spacing w:after="0" w:line="237"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3(d), the Commission’s staff has indicated that you should be identified as an underwriter in the Registration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-616585</wp:posOffset>
            </wp:positionV>
            <wp:extent cx="63093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-333375</wp:posOffset>
            </wp:positionV>
            <wp:extent cx="63093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574675</wp:posOffset>
            </wp:positionV>
            <wp:extent cx="67208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378"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_______________________</w:t>
      </w:r>
      <w:r>
        <w:rPr>
          <w:sz w:val="20"/>
          <w:szCs w:val="20"/>
          <w:color w:val="auto"/>
        </w:rPr>
        <w:tab/>
      </w:r>
      <w:r>
        <w:rPr>
          <w:rFonts w:ascii="Times New Roman" w:cs="Times New Roman" w:eastAsia="Times New Roman" w:hAnsi="Times New Roman"/>
          <w:sz w:val="17"/>
          <w:szCs w:val="17"/>
          <w:color w:val="auto"/>
        </w:rPr>
        <w:t>Beneficial Owner: _______________________</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_______________________</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VICTORIA JIN AT VJIN@LOWENSTEIN.COM.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Edesa Biotech Announces $3.5 Million Private Placement of Common Shares Led by CEO and Healthcare-Focused Investors</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TORONTO, June 11, 2026 (GLOBE NEWSWIRE) -- Edesa Biotech, Inc. (Nasdaq: EDSA) (the “Company” or “Edesa”), a clinical-stage biopharmaceutical company focused on developing host-directed therapeutics for immuno-inflammatory diseases, today announced that it has entered into a securities purchase agreement for a private investment in public equity (“PIPE”) financing that is expected to result in gross proceeds of approximately $3.5 million to the Company, before deducting offering expenses payable by Edesa. The common shares were placed without an agent, underwriter, broker or dealer. Investors in the PIPE include Edesa’s Chief Executive Officer and healthcare-focused investors. The PIPE is expected to close on or about June 15, 2026, subject to the satisfaction of customary closing conditions.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PIPE, the Company is selling an aggregate of 729,241 common shares, at a purchase price of $4.69 per common share for investors and $5.21 per common share for Edesa’s Chief Executive Officer.</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Edesa currently expects to use the net proceeds from the PIPE to fund the continued advancement of the Company’s vitiligo program, the Company’s drug candidate, paridiprubart, and for working capital and general corporate purposes.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securities described above were offered in a private placement under Section 4(a)(2) of the Securities Act of 1933, as amended (the "Act"), and Regulation D promulgated thereunder and have not been and will not be registered under the Act, and may not be offered or sold in the United States absent registration or an applicable exemption from registration requirements. The securities described above may be offered to "accredited investors" within the meaning of the Canadian National Instrument 45-106 - Prospectus Exemptions. Securities issued in Canada may be subject to applicable Canadian hold periods imposed under applicable securities legislation. Edesa has agreed to file a registration statement with the U.S. Securities and Exchange Commission (“SEC”) registering the resale of the common shares within 45 days of the closing.</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press release shall not constitute an offer to sell or the solicitation of an offer to buy any securities described herein, nor shall there be any sale of these securities in any state or jurisdiction in which such offer, solicitation or sale would be unlawful prior to the registration or qualification under the securities laws of any such state or jurisdiction. The Company plans to file a Current Report on Form 8-K with the SEC with additional details of the PIPE. In addition, in Canada, a material change report with respect to the PIPE is expected to be filed less than 21 days before the expected closing date of the PIPE, which is reasonable and necessary in the circumstances for the Company to take advantage of available financing opportunities.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Edesa Biotech, Inc.</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Edesa Biotech, Inc. (Nasdaq: EDSA) is a clinical-stage biopharmaceutical company developing innovative ways to treat inflammatory and immune-related diseases. Its clinical pipeline is focused on two therapeutic areas: Medical Dermatology and Respiratory. In Medical Dermatology, Edesa is developing EB06, an anti-CXCL10 monoclonal antibody candidate, as a therapy for vitiligo, a common autoimmune disorder that causes skin to lose its color in patches. Its medical dermatology assets also include EB01 (1.0% daniluromer cream), a Phase 3-ready asset developed for use as a potential therapy for moderate-to-severe chronic Allergic Contact Dermatitis (ACD), a common occupational skin condition. The company’s most advanced Respiratory drug candidate is paridiprubart, which is being developed as a potential treatment for Acute Respiratory Distress Syndrome, a life-threatening form of respiratory failure. The paridiprubart program has been the recipient of two funding awards from the Government of Canada to support the further development of this asset, and is currently being evaluated in a U.S. government-funded platform study. Edesa is also pursuing additional uses for paridiprubart.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Edesa Forward-Looking Statements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color w:val="auto"/>
        </w:rPr>
        <w:t>This press release may contain forward-looking statements within the meaning of Section 27A of the Securities Act of 1933, as amended, and Section 21E of the Securities Exchange Act of 1934, as amended. Forward-looking statements may be identified by the use of words such as "anticipate," "believe," "plan," "estimate," "expect," "intend," "may," "will," "would," "could," "should," "might," "potential," or "continue" and variations or similar expressions, including statements related to Edesa’s ability to complete the PIPE financing, the anticipated proceeds to be received in the PIPE financing, the expected timing of the closing of the PIPE financing and the expected use of the proceeds from the PIPE financing. Readers should not unduly rely on these forward-looking statements, which are not a guarantee of future performance. There can be no assurance that forward-looking statements will prove to be accurate, as all such forward-looking statements involve known and unknown risks, uncertainties and other factors which may cause actual results or future events to differ materially from the forward-looking statements. Such risks include: market and other conditions, those relating to the anticipated use of proceeds, the ability of Edesa to obtain regulatory approval for or successfully commercialize any of its product candidates, the risk that access to sufficient capital to fund Edesa's operations may not be available or may be available on terms that are not commercially favorable to Edesa, the risk that Edesa's product candidates may not be effective against the diseases tested in its clinical trials, the risk that Edesa fails to comply with the terms of license agreements with third parties and as a result loses the right to use key intellectual property in its business, Edesa's ability to protect its intellectual property, the timing and success of submission, acceptance and approval of regulatory filings, and the impacts of public health crises. Many of these factors that will determine actual results are beyond the Company's ability to control or predict. For a discussion of further risks and uncertainties related to Edesa's business, please refer to Edesa's reports filed with the U.S. Securities and Exchange Commission and the British Columbia Securities Commission. All forward-</w:t>
      </w:r>
    </w:p>
    <w:p>
      <w:pPr>
        <w:sectPr>
          <w:pgSz w:w="11900" w:h="16838" w:orient="portrait"/>
          <w:cols w:equalWidth="0" w:num="1">
            <w:col w:w="11240"/>
          </w:cols>
          <w:pgMar w:left="320" w:top="108" w:right="339" w:bottom="1" w:gutter="0" w:footer="0" w:header="0"/>
        </w:sectPr>
      </w:pPr>
    </w:p>
    <w:bookmarkStart w:id="69" w:name="page70"/>
    <w:bookmarkEnd w:id="69"/>
    <w:p>
      <w:pPr>
        <w:spacing w:after="0" w:line="260" w:lineRule="auto"/>
        <w:rPr>
          <w:sz w:val="20"/>
          <w:szCs w:val="20"/>
          <w:color w:val="auto"/>
        </w:rPr>
      </w:pPr>
      <w:r>
        <w:rPr>
          <w:rFonts w:ascii="Times New Roman" w:cs="Times New Roman" w:eastAsia="Times New Roman" w:hAnsi="Times New Roman"/>
          <w:sz w:val="22"/>
          <w:szCs w:val="22"/>
          <w:i w:val="1"/>
          <w:iCs w:val="1"/>
          <w:color w:val="auto"/>
        </w:rPr>
        <w:t>looking statements are made as of the date hereof and are subject to change. Except as required by law, Edesa assumes no obligation to update such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Gary Koppenjan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Edesa Biotech, Inc.</w:t>
      </w:r>
    </w:p>
    <w:p>
      <w:pPr>
        <w:spacing w:after="0"/>
        <w:rPr>
          <w:sz w:val="20"/>
          <w:szCs w:val="20"/>
          <w:color w:val="auto"/>
        </w:rPr>
      </w:pPr>
      <w:r>
        <w:rPr>
          <w:rFonts w:ascii="Times New Roman" w:cs="Times New Roman" w:eastAsia="Times New Roman" w:hAnsi="Times New Roman"/>
          <w:sz w:val="22"/>
          <w:szCs w:val="22"/>
          <w:color w:val="auto"/>
        </w:rPr>
        <w:t>investors@edesabiotech.com</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abstractNum>
  <w:abstractNum w:abstractNumId="4">
    <w:nsid w:val="5C482A97"/>
    <w:multiLevelType w:val="hybridMultilevel"/>
    <w:lvl w:ilvl="0">
      <w:lvlJc w:val="left"/>
      <w:lvlText w:val="%1."/>
      <w:numFmt w:val="decimal"/>
      <w:start w:val="3"/>
    </w:lvl>
  </w:abstractNum>
  <w:abstractNum w:abstractNumId="5">
    <w:nsid w:val="2463B9EA"/>
    <w:multiLevelType w:val="hybridMultilevel"/>
    <w:lvl w:ilvl="0">
      <w:lvlJc w:val="left"/>
      <w:lvlText w:val="(%1)"/>
      <w:numFmt w:val="lowerLetter"/>
      <w:start w:val="1"/>
    </w:lvl>
  </w:abstractNum>
  <w:abstractNum w:abstractNumId="6">
    <w:nsid w:val="5E884ADC"/>
    <w:multiLevelType w:val="hybridMultilevel"/>
    <w:lvl w:ilvl="0">
      <w:lvlJc w:val="left"/>
      <w:lvlText w:val="%1"/>
      <w:numFmt w:val="lowerLetter"/>
      <w:start w:val="1"/>
    </w:lvl>
    <w:lvl w:ilvl="1">
      <w:lvlJc w:val="left"/>
      <w:lvlText w:val="(%2)"/>
      <w:numFmt w:val="lowerLetter"/>
      <w:start w:val="2"/>
    </w:lvl>
  </w:abstractNum>
  <w:abstractNum w:abstractNumId="7">
    <w:nsid w:val="51EAD36B"/>
    <w:multiLevelType w:val="hybridMultilevel"/>
    <w:lvl w:ilvl="0">
      <w:lvlJc w:val="left"/>
      <w:lvlText w:val="(%1)"/>
      <w:numFmt w:val="lowerLetter"/>
      <w:start w:val="9"/>
    </w:lvl>
    <w:lvl w:ilvl="1">
      <w:lvlJc w:val="left"/>
      <w:lvlText w:val="%2"/>
      <w:numFmt w:val="lowerLetter"/>
      <w:start w:val="1"/>
    </w:lvl>
  </w:abstractNum>
  <w:abstractNum w:abstractNumId="8">
    <w:nsid w:val="2D517796"/>
    <w:multiLevelType w:val="hybridMultilevel"/>
    <w:lvl w:ilvl="0">
      <w:lvlJc w:val="left"/>
      <w:lvlText w:val="(%1)"/>
      <w:numFmt w:val="lowerRoman"/>
      <w:start w:val="1"/>
    </w:lvl>
  </w:abstractNum>
  <w:abstractNum w:abstractNumId="9">
    <w:nsid w:val="580BD78F"/>
    <w:multiLevelType w:val="hybridMultilevel"/>
    <w:lvl w:ilvl="0">
      <w:lvlJc w:val="left"/>
      <w:lvlText w:val="(%1)"/>
      <w:numFmt w:val="lowerRoman"/>
      <w:start w:val="2"/>
    </w:lvl>
  </w:abstractNum>
  <w:abstractNum w:abstractNumId="10">
    <w:nsid w:val="153EA438"/>
    <w:multiLevelType w:val="hybridMultilevel"/>
    <w:lvl w:ilvl="0">
      <w:lvlJc w:val="left"/>
      <w:lvlText w:val="(%1)"/>
      <w:numFmt w:val="lowerRoman"/>
      <w:start w:val="1"/>
    </w:lvl>
  </w:abstractNum>
  <w:abstractNum w:abstractNumId="11">
    <w:nsid w:val="3855585C"/>
    <w:multiLevelType w:val="hybridMultilevel"/>
    <w:lvl w:ilvl="0">
      <w:lvlJc w:val="left"/>
      <w:lvlText w:val="%1."/>
      <w:numFmt w:val="decimal"/>
      <w:start w:val="4"/>
    </w:lvl>
  </w:abstractNum>
  <w:abstractNum w:abstractNumId="12">
    <w:nsid w:val="70A64E2A"/>
    <w:multiLevelType w:val="hybridMultilevel"/>
    <w:lvl w:ilvl="0">
      <w:lvlJc w:val="left"/>
      <w:lvlText w:val="(%1)"/>
      <w:numFmt w:val="lowerLetter"/>
      <w:start w:val="1"/>
    </w:lvl>
  </w:abstractNum>
  <w:abstractNum w:abstractNumId="13">
    <w:nsid w:val="6A2342EC"/>
    <w:multiLevelType w:val="hybridMultilevel"/>
    <w:lvl w:ilvl="0">
      <w:lvlJc w:val="left"/>
      <w:lvlText w:val="(%1)"/>
      <w:numFmt w:val="lowerLetter"/>
      <w:start w:val="1"/>
    </w:lvl>
  </w:abstractNum>
  <w:abstractNum w:abstractNumId="14">
    <w:nsid w:val="2A487CB0"/>
    <w:multiLevelType w:val="hybridMultilevel"/>
    <w:lvl w:ilvl="0">
      <w:lvlJc w:val="left"/>
      <w:lvlText w:val="(%1)"/>
      <w:numFmt w:val="lowerLetter"/>
      <w:start w:val="2"/>
    </w:lvl>
  </w:abstractNum>
  <w:abstractNum w:abstractNumId="15">
    <w:nsid w:val="1D4ED43B"/>
    <w:multiLevelType w:val="hybridMultilevel"/>
    <w:lvl w:ilvl="0">
      <w:lvlJc w:val="left"/>
      <w:lvlText w:val="(%1)"/>
      <w:numFmt w:val="lowerLetter"/>
      <w:start w:val="3"/>
    </w:lvl>
  </w:abstractNum>
  <w:abstractNum w:abstractNumId="16">
    <w:nsid w:val="725A06FB"/>
    <w:multiLevelType w:val="hybridMultilevel"/>
    <w:lvl w:ilvl="0">
      <w:lvlJc w:val="left"/>
      <w:lvlText w:val="(%1)"/>
      <w:numFmt w:val="lowerLetter"/>
      <w:start w:val="4"/>
    </w:lvl>
  </w:abstractNum>
  <w:abstractNum w:abstractNumId="17">
    <w:nsid w:val="2CD89A32"/>
    <w:multiLevelType w:val="hybridMultilevel"/>
    <w:lvl w:ilvl="0">
      <w:lvlJc w:val="left"/>
      <w:lvlText w:val="%1."/>
      <w:numFmt w:val="decimal"/>
      <w:start w:val="5"/>
    </w:lvl>
  </w:abstractNum>
  <w:abstractNum w:abstractNumId="18">
    <w:nsid w:val="57E4CCAF"/>
    <w:multiLevelType w:val="hybridMultilevel"/>
    <w:lvl w:ilvl="0">
      <w:lvlJc w:val="left"/>
      <w:lvlText w:val="(%1)"/>
      <w:numFmt w:val="lowerLetter"/>
      <w:start w:val="1"/>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1)"/>
      <w:numFmt w:val="lowerLetter"/>
      <w:start w:val="1"/>
    </w:lvl>
  </w:abstractNum>
  <w:abstractNum w:abstractNumId="21">
    <w:nsid w:val="542289EC"/>
    <w:multiLevelType w:val="hybridMultilevel"/>
    <w:lvl w:ilvl="0">
      <w:lvlJc w:val="left"/>
      <w:lvlText w:val="%1."/>
      <w:numFmt w:val="decimal"/>
      <w:start w:val="6"/>
    </w:lvl>
  </w:abstractNum>
  <w:abstractNum w:abstractNumId="22">
    <w:nsid w:val="6DE91B18"/>
    <w:multiLevelType w:val="hybridMultilevel"/>
    <w:lvl w:ilvl="0">
      <w:lvlJc w:val="left"/>
      <w:lvlText w:val="(%1)"/>
      <w:numFmt w:val="lowerLetter"/>
      <w:start w:val="1"/>
    </w:lvl>
  </w:abstractNum>
  <w:abstractNum w:abstractNumId="23">
    <w:nsid w:val="38437FDB"/>
    <w:multiLevelType w:val="hybridMultilevel"/>
    <w:lvl w:ilvl="0">
      <w:lvlJc w:val="left"/>
      <w:lvlText w:val="(%1)"/>
      <w:numFmt w:val="lowerLetter"/>
      <w:start w:val="2"/>
    </w:lvl>
  </w:abstractNum>
  <w:abstractNum w:abstractNumId="24">
    <w:nsid w:val="7644A45C"/>
    <w:multiLevelType w:val="hybridMultilevel"/>
    <w:lvl w:ilvl="0">
      <w:lvlJc w:val="left"/>
      <w:lvlText w:val="(%1)"/>
      <w:numFmt w:val="lowerLetter"/>
      <w:start w:val="13"/>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decimal"/>
      <w:start w:val="1"/>
    </w:lvl>
    <w:lvl w:ilvl="1">
      <w:lvlJc w:val="left"/>
      <w:lvlText w:val="(%2)"/>
      <w:numFmt w:val="lowerLetter"/>
      <w:start w:val="6"/>
    </w:lvl>
  </w:abstractNum>
  <w:abstractNum w:abstractNumId="27">
    <w:nsid w:val="579478FE"/>
    <w:multiLevelType w:val="hybridMultilevel"/>
    <w:lvl w:ilvl="0">
      <w:lvlJc w:val="left"/>
      <w:lvlText w:val="%1."/>
      <w:numFmt w:val="decimal"/>
      <w:start w:val="7"/>
    </w:lvl>
    <w:lvl w:ilvl="1">
      <w:lvlJc w:val="left"/>
      <w:lvlText w:val="%2"/>
      <w:numFmt w:val="lowerLetter"/>
      <w:start w:val="1"/>
    </w:lvl>
  </w:abstractNum>
  <w:abstractNum w:abstractNumId="28">
    <w:nsid w:val="749ABB43"/>
    <w:multiLevelType w:val="hybridMultilevel"/>
    <w:lvl w:ilvl="0">
      <w:lvlJc w:val="left"/>
      <w:lvlText w:val="(%1)"/>
      <w:numFmt w:val="lowerRoman"/>
      <w:start w:val="1"/>
    </w:lvl>
  </w:abstractNum>
  <w:abstractNum w:abstractNumId="29">
    <w:nsid w:val="3DC240FB"/>
    <w:multiLevelType w:val="hybridMultilevel"/>
    <w:lvl w:ilvl="0">
      <w:lvlJc w:val="left"/>
      <w:lvlText w:val="%1."/>
      <w:numFmt w:val="decimal"/>
      <w:start w:val="8"/>
    </w:lvl>
  </w:abstractNum>
  <w:abstractNum w:abstractNumId="30">
    <w:nsid w:val="1BA026FA"/>
    <w:multiLevelType w:val="hybridMultilevel"/>
    <w:lvl w:ilvl="0">
      <w:lvlJc w:val="left"/>
      <w:lvlText w:val="(%1)"/>
      <w:numFmt w:val="lowerLetter"/>
      <w:start w:val="1"/>
    </w:lvl>
  </w:abstractNum>
  <w:abstractNum w:abstractNumId="31">
    <w:nsid w:val="79A1DEAA"/>
    <w:multiLevelType w:val="hybridMultilevel"/>
    <w:lvl w:ilvl="0">
      <w:lvlJc w:val="left"/>
      <w:lvlText w:val="(%1)"/>
      <w:numFmt w:val="lowerLetter"/>
      <w:start w:val="2"/>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Roman"/>
      <w:start w:val="1"/>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upperLetter"/>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39">
    <w:nsid w:val="649BB77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5"/>
    </w:lvl>
  </w:abstractNum>
  <w:abstractNum w:abstractNumId="40">
    <w:nsid w:val="275AC7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1">
    <w:nsid w:val="39386575"/>
    <w:multiLevelType w:val="hybridMultilevel"/>
    <w:lvl w:ilvl="0">
      <w:lvlJc w:val="left"/>
      <w:lvlText w:val="(%1)"/>
      <w:numFmt w:val="lowerLetter"/>
      <w:start w:val="2"/>
    </w:lvl>
  </w:abstractNum>
  <w:abstractNum w:abstractNumId="42">
    <w:nsid w:val="1CF10FD8"/>
    <w:multiLevelType w:val="hybridMultilevel"/>
    <w:lvl w:ilvl="0">
      <w:lvlJc w:val="left"/>
      <w:lvlText w:val="%1"/>
      <w:numFmt w:val="lowerLetter"/>
      <w:start w:val="1"/>
    </w:lvl>
    <w:lvl w:ilvl="1">
      <w:lvlJc w:val="left"/>
      <w:lvlText w:val="(%2)"/>
      <w:numFmt w:val="lowerLetter"/>
      <w:start w:val="4"/>
    </w:lvl>
  </w:abstractNum>
  <w:abstractNum w:abstractNumId="43">
    <w:nsid w:val="180115BE"/>
    <w:multiLevelType w:val="hybridMultilevel"/>
    <w:lvl w:ilvl="0">
      <w:lvlJc w:val="left"/>
      <w:lvlText w:val="(%1)"/>
      <w:numFmt w:val="lowerLetter"/>
      <w:start w:val="35"/>
    </w:lvl>
    <w:lvl w:ilvl="1">
      <w:lvlJc w:val="left"/>
      <w:lvlText w:val="%2"/>
      <w:numFmt w:val="lowerLetter"/>
      <w:start w:val="1"/>
    </w:lvl>
  </w:abstractNum>
  <w:abstractNum w:abstractNumId="44">
    <w:nsid w:val="235BA861"/>
    <w:multiLevelType w:val="hybridMultilevel"/>
    <w:lvl w:ilvl="0">
      <w:lvlJc w:val="left"/>
      <w:lvlText w:val="%1."/>
      <w:numFmt w:val="decimal"/>
      <w:start w:val="3"/>
    </w:lvl>
  </w:abstractNum>
  <w:abstractNum w:abstractNumId="45">
    <w:nsid w:val="47398C89"/>
    <w:multiLevelType w:val="hybridMultilevel"/>
    <w:lvl w:ilvl="0">
      <w:lvlJc w:val="left"/>
      <w:lvlText w:val="(%1)"/>
      <w:numFmt w:val="lowerLetter"/>
      <w:start w:val="1"/>
    </w:lvl>
  </w:abstractNum>
  <w:abstractNum w:abstractNumId="46">
    <w:nsid w:val="354FE9F9"/>
    <w:multiLevelType w:val="hybridMultilevel"/>
    <w:lvl w:ilvl="0">
      <w:lvlJc w:val="left"/>
      <w:lvlText w:val="%1"/>
      <w:numFmt w:val="lowerLetter"/>
      <w:start w:val="1"/>
    </w:lvl>
    <w:lvl w:ilvl="1">
      <w:lvlJc w:val="left"/>
      <w:lvlText w:val="(%2)"/>
      <w:numFmt w:val="lowerLetter"/>
      <w:start w:val="5"/>
    </w:lvl>
  </w:abstractNum>
  <w:abstractNum w:abstractNumId="47">
    <w:nsid w:val="15B5AF5C"/>
    <w:multiLevelType w:val="hybridMultilevel"/>
    <w:lvl w:ilvl="0">
      <w:lvlJc w:val="left"/>
      <w:lvlText w:val="(%1)"/>
      <w:numFmt w:val="lowerLetter"/>
      <w:start w:val="9"/>
    </w:lvl>
    <w:lvl w:ilvl="1">
      <w:lvlJc w:val="left"/>
      <w:lvlText w:val="(%2)"/>
      <w:numFmt w:val="lowerLetter"/>
      <w:start w:val="6"/>
    </w:lvl>
  </w:abstractNum>
  <w:abstractNum w:abstractNumId="48">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abstractNum>
  <w:abstractNum w:abstractNumId="49">
    <w:nsid w:val="D34B6A8"/>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1"/>
    </w:lvl>
  </w:abstractNum>
  <w:abstractNum w:abstractNumId="50">
    <w:nsid w:val="10233C9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1">
    <w:nsid w:val="3F6AB60F"/>
    <w:multiLevelType w:val="hybridMultilevel"/>
    <w:lvl w:ilvl="0">
      <w:lvlJc w:val="left"/>
      <w:lvlText w:val="%1"/>
      <w:numFmt w:val="decimal"/>
      <w:start w:val="1"/>
    </w:lvl>
    <w:lvl w:ilvl="1">
      <w:lvlJc w:val="left"/>
      <w:lvlText w:val="(%2)"/>
      <w:numFmt w:val="lowerLetter"/>
      <w:start w:val="3"/>
    </w:lvl>
  </w:abstractNum>
  <w:abstractNum w:abstractNumId="52">
    <w:nsid w:val="61574095"/>
    <w:multiLevelType w:val="hybridMultilevel"/>
    <w:lvl w:ilvl="0">
      <w:lvlJc w:val="left"/>
      <w:lvlText w:val="%1."/>
      <w:numFmt w:val="decimal"/>
      <w:start w:val="5"/>
    </w:lvl>
    <w:lvl w:ilvl="1">
      <w:lvlJc w:val="left"/>
      <w:lvlText w:val="%2"/>
      <w:numFmt w:val="lowerLetter"/>
      <w:start w:val="1"/>
    </w:lvl>
  </w:abstractNum>
  <w:abstractNum w:abstractNumId="53">
    <w:nsid w:val="7E0C57B1"/>
    <w:multiLevelType w:val="hybridMultilevel"/>
    <w:lvl w:ilvl="0">
      <w:lvlJc w:val="left"/>
      <w:lvlText w:val="%1."/>
      <w:numFmt w:val="decimal"/>
      <w:start w:val="6"/>
    </w:lvl>
    <w:lvl w:ilvl="1">
      <w:lvlJc w:val="left"/>
      <w:lvlText w:val="(%2)"/>
      <w:numFmt w:val="lowerLetter"/>
      <w:start w:val="1"/>
    </w:lvl>
  </w:abstractNum>
  <w:abstractNum w:abstractNumId="54">
    <w:nsid w:val="77AE35EB"/>
    <w:multiLevelType w:val="hybridMultilevel"/>
    <w:lvl w:ilvl="0">
      <w:lvlJc w:val="left"/>
      <w:lvlText w:val="(%1)"/>
      <w:numFmt w:val="lowerLetter"/>
      <w:start w:val="2"/>
    </w:lvl>
  </w:abstractNum>
  <w:abstractNum w:abstractNumId="55">
    <w:nsid w:val="579BE4F1"/>
    <w:multiLevelType w:val="hybridMultilevel"/>
    <w:lvl w:ilvl="0">
      <w:lvlJc w:val="left"/>
      <w:lvlText w:val="%1"/>
      <w:numFmt w:val="decimal"/>
      <w:start w:val="1"/>
    </w:lvl>
    <w:lvl w:ilvl="1">
      <w:lvlJc w:val="left"/>
      <w:lvlText w:val="(%2)"/>
      <w:numFmt w:val="lowerLetter"/>
      <w:start w:val="4"/>
    </w:lvl>
  </w:abstractNum>
  <w:abstractNum w:abstractNumId="56">
    <w:nsid w:val="310C50B3"/>
    <w:multiLevelType w:val="hybridMultilevel"/>
    <w:lvl w:ilvl="0">
      <w:lvlJc w:val="left"/>
      <w:lvlText w:val="%1."/>
      <w:numFmt w:val="decimal"/>
      <w:start w:val="7"/>
    </w:lvl>
    <w:lvl w:ilvl="1">
      <w:lvlJc w:val="left"/>
      <w:lvlText w:val="%2"/>
      <w:numFmt w:val="lowerLetter"/>
      <w:start w:val="1"/>
    </w:lvl>
  </w:abstractNum>
  <w:abstractNum w:abstractNumId="57">
    <w:nsid w:val="5FF87E05"/>
    <w:multiLevelType w:val="hybridMultilevel"/>
    <w:lvl w:ilvl="0">
      <w:lvlJc w:val="left"/>
      <w:lvlText w:val="%1."/>
      <w:numFmt w:val="decimal"/>
      <w:start w:val="8"/>
    </w:lvl>
  </w:abstractNum>
  <w:abstractNum w:abstractNumId="58">
    <w:nsid w:val="2F305DEF"/>
    <w:multiLevelType w:val="hybridMultilevel"/>
    <w:lvl w:ilvl="0">
      <w:lvlJc w:val="left"/>
      <w:lvlText w:val="%1."/>
      <w:numFmt w:val="decimal"/>
      <w:start w:val="9"/>
    </w:lvl>
  </w:abstractNum>
  <w:abstractNum w:abstractNumId="59">
    <w:nsid w:val="25A70BF7"/>
    <w:multiLevelType w:val="hybridMultilevel"/>
    <w:lvl w:ilvl="0">
      <w:lvlJc w:val="left"/>
      <w:lvlText w:val="%1."/>
      <w:numFmt w:val="decimal"/>
      <w:start w:val="10"/>
    </w:lvl>
    <w:lvl w:ilvl="1">
      <w:lvlJc w:val="left"/>
      <w:lvlText w:val="(%2)"/>
      <w:numFmt w:val="lowerLetter"/>
      <w:start w:val="1"/>
    </w:lvl>
  </w:abstractNum>
  <w:abstractNum w:abstractNumId="60">
    <w:nsid w:val="1DBABF00"/>
    <w:multiLevelType w:val="hybridMultilevel"/>
    <w:lvl w:ilvl="0">
      <w:lvlJc w:val="left"/>
      <w:lvlText w:val="%1."/>
      <w:numFmt w:val="lowerRoman"/>
      <w:start w:val="1"/>
    </w:lvl>
  </w:abstractNum>
  <w:abstractNum w:abstractNumId="61">
    <w:nsid w:val="4AD084E9"/>
    <w:multiLevelType w:val="hybridMultilevel"/>
    <w:lvl w:ilvl="0">
      <w:lvlJc w:val="left"/>
      <w:lvlText w:val="%1."/>
      <w:numFmt w:val="lowerRoman"/>
      <w:start w:val="2"/>
    </w:lvl>
  </w:abstractNum>
  <w:abstractNum w:abstractNumId="62">
    <w:nsid w:val="1F48EAA1"/>
    <w:multiLevelType w:val="hybridMultilevel"/>
    <w:lvl w:ilvl="0">
      <w:lvlJc w:val="left"/>
      <w:lvlText w:val="(%1)"/>
      <w:numFmt w:val="lowerLetter"/>
      <w:start w:val="2"/>
    </w:lvl>
  </w:abstractNum>
  <w:abstractNum w:abstractNumId="63">
    <w:nsid w:val="1381823A"/>
    <w:multiLevelType w:val="hybridMultilevel"/>
    <w:lvl w:ilvl="0">
      <w:lvlJc w:val="left"/>
      <w:lvlText w:val="(%1)"/>
      <w:numFmt w:val="lowerLetter"/>
      <w:start w:val="7"/>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lvl w:ilvl="1">
      <w:lvlJc w:val="left"/>
      <w:lvlText w:val="(%2)"/>
      <w:numFmt w:val="lowerLetter"/>
      <w:start w:val="1"/>
    </w:lvl>
  </w:abstractNum>
  <w:abstractNum w:abstractNumId="66">
    <w:nsid w:val="6590700B"/>
    <w:multiLevelType w:val="hybridMultilevel"/>
    <w:lvl w:ilvl="0">
      <w:lvlJc w:val="left"/>
      <w:lvlText w:val="%1."/>
      <w:numFmt w:val="decimal"/>
      <w:start w:val="3"/>
    </w:lvl>
    <w:lvl w:ilvl="1">
      <w:lvlJc w:val="left"/>
      <w:lvlText w:val="(%2)"/>
      <w:numFmt w:val="lowerLetter"/>
      <w:start w:val="1"/>
    </w:lvl>
  </w:abstractNum>
  <w:abstractNum w:abstractNumId="67">
    <w:nsid w:val="15014ACB"/>
    <w:multiLevelType w:val="hybridMultilevel"/>
    <w:lvl w:ilvl="0">
      <w:lvlJc w:val="left"/>
      <w:lvlText w:val="(%1)"/>
      <w:numFmt w:val="lowerLetter"/>
      <w:start w:val="2"/>
    </w:lvl>
  </w:abstractNum>
  <w:abstractNum w:abstractNumId="68">
    <w:nsid w:val="5F5E7FD0"/>
    <w:multiLevelType w:val="hybridMultilevel"/>
    <w:lvl w:ilvl="0">
      <w:lvlJc w:val="left"/>
      <w:lvlText w:val="(%1)"/>
      <w:numFmt w:val="lowerLetter"/>
      <w:start w:val="3"/>
    </w:lvl>
  </w:abstractNum>
  <w:abstractNum w:abstractNumId="69">
    <w:nsid w:val="98A3148"/>
    <w:multiLevelType w:val="hybridMultilevel"/>
    <w:lvl w:ilvl="0">
      <w:lvlJc w:val="left"/>
      <w:lvlText w:val="(%1)"/>
      <w:numFmt w:val="lowerLetter"/>
      <w:start w:val="4"/>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2026-06-11T08:23:35Z</dcterms:created>
  <dcterms:modified xsi:type="dcterms:W3CDTF">2026-06-11T08:23:35Z</dcterms:modified>
</cp:coreProperties>
</file>