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EDESA BIOTECH,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Shares, no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Dr. Pardeep Nijhawan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Edesa Biotech, Inc., 100 Spy Court</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Markham, A6, L3R 5H6</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(289) 800-9600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Pardeep Nijhawan Medicine Professional Corporation</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ONTARIO, CANADA</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1,164,676.00</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65"/>
        </w:trPr>
        <w:tc>
          <w:tcPr>
            <w:tcW w:w="1120" w:type="dxa"/>
            <w:vAlign w:val="bottom"/>
          </w:tcPr>
          <w:p>
            <w:pPr>
              <w:spacing w:after="0"/>
              <w:rPr>
                <w:sz w:val="5"/>
                <w:szCs w:val="5"/>
                <w:color w:val="auto"/>
              </w:rPr>
            </w:pPr>
          </w:p>
        </w:tc>
        <w:tc>
          <w:tcPr>
            <w:tcW w:w="2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1200"/>
        <w:spacing w:after="0" w:line="230" w:lineRule="auto"/>
        <w:rPr>
          <w:sz w:val="20"/>
          <w:szCs w:val="20"/>
          <w:color w:val="auto"/>
        </w:rPr>
      </w:pPr>
      <w:r>
        <w:rPr>
          <w:rFonts w:ascii="Times New Roman" w:cs="Times New Roman" w:eastAsia="Times New Roman" w:hAnsi="Times New Roman"/>
          <w:sz w:val="22"/>
          <w:szCs w:val="22"/>
          <w:color w:val="auto"/>
        </w:rPr>
        <w:t>10</w:t>
      </w:r>
    </w:p>
    <w:p>
      <w:pPr>
        <w:spacing w:after="0" w:line="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1,164,676.00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1,164,676.00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11.2 %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w:t>
      </w:r>
      <w:r>
        <w:rPr>
          <w:rFonts w:ascii="Times New Roman" w:cs="Times New Roman" w:eastAsia="Times New Roman" w:hAnsi="Times New Roman"/>
          <w:sz w:val="21"/>
          <w:szCs w:val="21"/>
          <w:color w:val="auto"/>
        </w:rPr>
        <w:t>For box 13, based on a total of 9,626,964 Common Shares of the Company outstanding as of June 16, 2026, and an</w:t>
      </w:r>
    </w:p>
    <w:tbl>
      <w:tblPr>
        <w:tblLayout w:type="fixed"/>
        <w:tblInd w:w="0" w:type="dxa"/>
        <w:tblCellMar>
          <w:top w:w="0" w:type="dxa"/>
          <w:left w:w="0" w:type="dxa"/>
          <w:bottom w:w="0" w:type="dxa"/>
          <w:right w:w="0" w:type="dxa"/>
        </w:tblCellMar>
      </w:tblPr>
      <w:tr>
        <w:trPr>
          <w:trHeight w:val="221"/>
        </w:trPr>
        <w:tc>
          <w:tcPr>
            <w:tcW w:w="10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180" w:type="dxa"/>
            <w:vAlign w:val="bottom"/>
          </w:tcPr>
          <w:p>
            <w:pPr>
              <w:ind w:left="200"/>
              <w:spacing w:after="0" w:line="221" w:lineRule="exact"/>
              <w:rPr>
                <w:sz w:val="20"/>
                <w:szCs w:val="20"/>
                <w:color w:val="auto"/>
              </w:rPr>
            </w:pPr>
            <w:r>
              <w:rPr>
                <w:rFonts w:ascii="Times New Roman" w:cs="Times New Roman" w:eastAsia="Times New Roman" w:hAnsi="Times New Roman"/>
                <w:sz w:val="22"/>
                <w:szCs w:val="22"/>
                <w:color w:val="auto"/>
              </w:rPr>
              <w:t>additional 326,560 Common Shares underlying vested warrants and an additional 435,414 Common Shares</w:t>
            </w:r>
          </w:p>
        </w:tc>
      </w:tr>
      <w:tr>
        <w:trPr>
          <w:trHeight w:val="240"/>
        </w:trPr>
        <w:tc>
          <w:tcPr>
            <w:tcW w:w="10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80" w:type="dxa"/>
            <w:vAlign w:val="bottom"/>
          </w:tcPr>
          <w:p>
            <w:pPr>
              <w:ind w:left="200"/>
              <w:spacing w:after="0" w:line="240" w:lineRule="exact"/>
              <w:rPr>
                <w:sz w:val="20"/>
                <w:szCs w:val="20"/>
                <w:color w:val="auto"/>
              </w:rPr>
            </w:pPr>
            <w:r>
              <w:rPr>
                <w:rFonts w:ascii="Times New Roman" w:cs="Times New Roman" w:eastAsia="Times New Roman" w:hAnsi="Times New Roman"/>
                <w:sz w:val="22"/>
                <w:szCs w:val="22"/>
                <w:color w:val="auto"/>
              </w:rPr>
              <w:t>underlying Series A-1 Preferred Shares that are deemed outstanding with respect to this Reporting Person.</w:t>
            </w:r>
          </w:p>
        </w:tc>
      </w:tr>
      <w:tr>
        <w:trPr>
          <w:trHeight w:val="257"/>
        </w:trPr>
        <w:tc>
          <w:tcPr>
            <w:tcW w:w="10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8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The Digestive Health Clinic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26" w:right="339" w:bottom="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26"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32,013.00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32,013.00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32,013.00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111" w:right="339" w:bottom="0" w:gutter="0" w:footer="0" w:header="0"/>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For box 13, based on a total of 9,626,964 Common Shares of the Company outstanding as of June 16, 2026.</w:t>
      </w:r>
    </w:p>
    <w:p>
      <w:pPr>
        <w:spacing w:after="0" w:line="200" w:lineRule="exact"/>
        <w:rPr>
          <w:sz w:val="20"/>
          <w:szCs w:val="20"/>
          <w:color w:val="auto"/>
        </w:rPr>
      </w:pPr>
    </w:p>
    <w:p>
      <w:pPr>
        <w:sectPr>
          <w:pgSz w:w="11900" w:h="16838" w:orient="portrait"/>
          <w:cols w:equalWidth="0" w:num="2">
            <w:col w:w="2680" w:space="340"/>
            <w:col w:w="8220"/>
          </w:cols>
          <w:pgMar w:left="320" w:top="111"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1968160 Ontario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ONTARIO, CANADA</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53,104.00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1"/>
                <w:szCs w:val="11"/>
                <w:color w:val="auto"/>
              </w:rPr>
            </w:pP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0" w:type="dxa"/>
            <w:vAlign w:val="bottom"/>
            <w:vMerge w:val="continue"/>
          </w:tcPr>
          <w:p>
            <w:pPr>
              <w:spacing w:after="0"/>
              <w:rPr>
                <w:sz w:val="16"/>
                <w:szCs w:val="16"/>
                <w:color w:val="auto"/>
              </w:rPr>
            </w:pP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0" w:gutter="0" w:footer="0" w:header="0"/>
          <w:type w:val="continuous"/>
        </w:sectPr>
      </w:pPr>
    </w:p>
    <w:bookmarkStart w:id="3" w:name="page4"/>
    <w:bookmarkEnd w:id="3"/>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10</w:t>
      </w:r>
    </w:p>
    <w:p>
      <w:pPr>
        <w:ind w:left="1480"/>
        <w:spacing w:after="0"/>
        <w:rPr>
          <w:sz w:val="20"/>
          <w:szCs w:val="20"/>
          <w:color w:val="auto"/>
        </w:rPr>
      </w:pPr>
      <w:r>
        <w:rPr>
          <w:rFonts w:ascii="Times New Roman" w:cs="Times New Roman" w:eastAsia="Times New Roman" w:hAnsi="Times New Roman"/>
          <w:sz w:val="22"/>
          <w:szCs w:val="22"/>
          <w:color w:val="auto"/>
        </w:rPr>
        <w:t>53,104.00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53,104.00</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0.6 %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1">
            <w:col w:w="11240"/>
          </w:cols>
          <w:pgMar w:left="320" w:top="112" w:right="339" w:bottom="0" w:gutter="0" w:footer="0" w:header="0"/>
        </w:sectPr>
      </w:pPr>
    </w:p>
    <w:p>
      <w:pPr>
        <w:spacing w:after="0" w:line="25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For box 13, based on a total of 9,626,964 Common Shares of the Company outstanding as of June 16, 2026.</w:t>
      </w:r>
    </w:p>
    <w:p>
      <w:pPr>
        <w:spacing w:after="0" w:line="200" w:lineRule="exact"/>
        <w:rPr>
          <w:sz w:val="20"/>
          <w:szCs w:val="20"/>
          <w:color w:val="auto"/>
        </w:rPr>
      </w:pPr>
    </w:p>
    <w:p>
      <w:pPr>
        <w:sectPr>
          <w:pgSz w:w="11900" w:h="16838" w:orient="portrait"/>
          <w:cols w:equalWidth="0" w:num="2">
            <w:col w:w="2680" w:space="340"/>
            <w:col w:w="8220"/>
          </w:cols>
          <w:pgMar w:left="320" w:top="112"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The New Nijhawan Family Trust 2015</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112" w:right="339"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32,609.00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32,609.00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32,609.00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ectPr>
          <w:pgSz w:w="11900" w:h="16838" w:orient="portrait"/>
          <w:cols w:equalWidth="0" w:num="2">
            <w:col w:w="1100" w:space="60"/>
            <w:col w:w="10080"/>
          </w:cols>
          <w:pgMar w:left="320" w:top="112" w:right="339" w:bottom="0" w:gutter="0" w:footer="0" w:header="0"/>
          <w:type w:val="continuous"/>
        </w:sectPr>
      </w:pPr>
    </w:p>
    <w:bookmarkStart w:id="4" w:name="page5"/>
    <w:bookmarkEnd w:id="4"/>
    <w:p>
      <w:pPr>
        <w:spacing w:after="0" w:line="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0.3 %</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Type of Reporting Person (See Instructions)</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ectPr>
          <w:pgSz w:w="11900" w:h="16909" w:orient="portrait"/>
          <w:cols w:equalWidth="0" w:num="1">
            <w:col w:w="11240"/>
          </w:cols>
          <w:pgMar w:left="320" w:top="355" w:right="339" w:bottom="0" w:gutter="0" w:footer="0" w:header="0"/>
        </w:sectPr>
      </w:pPr>
    </w:p>
    <w:p>
      <w:pPr>
        <w:spacing w:after="0" w:line="25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For box 13, based on a total of 9,626,964 Common Shares of the Company outstanding as of June 16, 2026.</w:t>
      </w:r>
    </w:p>
    <w:p>
      <w:pPr>
        <w:spacing w:after="0" w:line="200" w:lineRule="exact"/>
        <w:rPr>
          <w:sz w:val="20"/>
          <w:szCs w:val="20"/>
          <w:color w:val="auto"/>
        </w:rPr>
      </w:pPr>
    </w:p>
    <w:p>
      <w:pPr>
        <w:sectPr>
          <w:pgSz w:w="11900" w:h="16909" w:orient="portrait"/>
          <w:cols w:equalWidth="0" w:num="2">
            <w:col w:w="2680" w:space="340"/>
            <w:col w:w="8220"/>
          </w:cols>
          <w:pgMar w:left="320" w:top="355"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Pardeep Nijhawan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 PF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CANADA (FEDERAL LEVEL)</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927,620.00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1,282,402.00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927,620.00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1,282,402.00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2,210,022.00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19.99 %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Boxes 8 and 10, consists of 1,164,676 Common Shares beneficially owned by Pardeep Nijhawan Medicine</w:t>
            </w: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360" w:type="dxa"/>
            <w:vAlign w:val="bottom"/>
          </w:tcPr>
          <w:p>
            <w:pPr>
              <w:ind w:left="40"/>
              <w:spacing w:after="0" w:line="229" w:lineRule="exact"/>
              <w:rPr>
                <w:sz w:val="20"/>
                <w:szCs w:val="20"/>
                <w:color w:val="auto"/>
              </w:rPr>
            </w:pPr>
            <w:r>
              <w:rPr>
                <w:rFonts w:ascii="Times New Roman" w:cs="Times New Roman" w:eastAsia="Times New Roman" w:hAnsi="Times New Roman"/>
                <w:sz w:val="22"/>
                <w:szCs w:val="22"/>
                <w:color w:val="auto"/>
              </w:rPr>
              <w:t>Professional Corporation, 32,013 Common Shares beneficially owned by The Digestive Health Clinic Inc., 53,104</w:t>
            </w:r>
          </w:p>
        </w:tc>
      </w:tr>
      <w:tr>
        <w:trPr>
          <w:trHeight w:val="255"/>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3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Common Shares beneficially owned by 1968160 Ontario Inc. and 32,609 Common Shares beneficially owned by The</w:t>
            </w:r>
          </w:p>
        </w:tc>
      </w:tr>
    </w:tbl>
    <w:p>
      <w:pPr>
        <w:jc w:val="both"/>
        <w:ind w:right="20"/>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New Nijhawan Family Trust 2015. For box 13, based on a total of 9,626,964 Common Shares of the Company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outstanding as of June 16, 2026, an additional 56,875 Common Shares underlying vested share options or underlying</w:t>
      </w:r>
    </w:p>
    <w:p>
      <w:pPr>
        <w:sectPr>
          <w:pgSz w:w="11900" w:h="16909" w:orient="portrait"/>
          <w:cols w:equalWidth="0" w:num="1">
            <w:col w:w="11240"/>
          </w:cols>
          <w:pgMar w:left="320" w:top="355" w:right="339" w:bottom="0" w:gutter="0" w:footer="0" w:header="0"/>
          <w:type w:val="continuous"/>
        </w:sectPr>
      </w:pPr>
    </w:p>
    <w:bookmarkStart w:id="5" w:name="page6"/>
    <w:bookmarkEnd w:id="5"/>
    <w:p>
      <w:pPr>
        <w:spacing w:after="0" w:line="22" w:lineRule="exact"/>
        <w:rPr>
          <w:sz w:val="20"/>
          <w:szCs w:val="20"/>
          <w:color w:val="auto"/>
        </w:rPr>
      </w:pPr>
    </w:p>
    <w:p>
      <w:pPr>
        <w:jc w:val="both"/>
        <w:ind w:left="880"/>
        <w:spacing w:after="0" w:line="233" w:lineRule="auto"/>
        <w:rPr>
          <w:sz w:val="20"/>
          <w:szCs w:val="20"/>
          <w:color w:val="auto"/>
        </w:rPr>
      </w:pPr>
      <w:r>
        <w:rPr>
          <w:rFonts w:ascii="Times New Roman" w:cs="Times New Roman" w:eastAsia="Times New Roman" w:hAnsi="Times New Roman"/>
          <w:sz w:val="22"/>
          <w:szCs w:val="22"/>
          <w:color w:val="auto"/>
        </w:rPr>
        <w:t>share options that will vest within 60 days of June 16, 2026, an additional 471,818 Common Shares underlying vested restricted stock units or restricted stock units that will vest within 60 days of June 16, 2026, an additional 326,560 Common Shares underlying vested warrants, an additional 435,414 Common Shares underlying Series A-1 Preferred Shares and an additional 136,833 Common Shares underlying Series B-1 Preferred Shares that are beneficially owned and deemed outstanding with respect to this Reporting Person. Excludes Common Shares underlying Series B-1 Preferred Shares held by Pardeep Nijhawan which are subject to a 19.99% beneficial ownership blocker, Common Shares underlying restricted stock units held by this Reporting Person that will not vest within 60 days of June 16, 2026 and Common Shares underlying share options held by this Reporting Person that will not vest within 60 days of June 16, 2026. The Reporting Person will not have the right to convert any portion of its Series B-1 Preferred Shares if, together with its affiliates, it would beneficially own in excess of 19.99% of the number of Common Shares outstanding immediately after giving effect to such conversion.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Shares, no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EDESA BIOTECH,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100 Spy Court, Markham, ONTARIO, CANADA , L3R 5H6.</w:t>
      </w:r>
    </w:p>
    <w:p>
      <w:pPr>
        <w:spacing w:after="0" w:line="20" w:lineRule="exact"/>
        <w:rPr>
          <w:sz w:val="20"/>
          <w:szCs w:val="20"/>
          <w:color w:val="auto"/>
        </w:rPr>
      </w:pPr>
    </w:p>
    <w:p>
      <w:pPr>
        <w:jc w:val="right"/>
        <w:ind w:right="40"/>
        <w:spacing w:after="0" w:line="24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10 ("Amendment No. 10") amends and supplements the statement on Schedule 13D jointly</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filed by (i) Pardeep Nijhawan Medicine Professional Corporation, formed in Ontario, Canada, (ii) The Digestive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Health Clinic Inc., formed in Ontario, Canada, (iii) 1968160 Ontario Inc., an Ontario, Canada corporation (iv) The New Nijhawan Family Trust 2015, an Ontario, Canada trust and (v) Dr. Pardeep Nijhawan, an individual on June 17, 2019, as amended by Amendment No. 1 filed on August 19, 2019, as further amended by Amendment No. 2 filed on January 16, 2020, as further amended by Amendment No. 3 filed on September 18, 2020, as further amended by Amendment No. 4 filed on November 8, 2022, as further amended by Amendment No. 5 filed on August 21, 2023, as further amended by Amendment No. 6 filed on January 16, 2024, as further amended by Amendment No. 7 filed on November 1, 2024, as further amended by Amendment No. 8 filed on February 14, 2025, as further amended by Amendment No. 9 filed on March 2, 2026, (as so amended and supplemented, the "Schedule 13D"), with respect to the common shares, no par value per share (the "Common Shares") of Edesa Biotech, Inc., a British Columbia corporation (the "Company" or the "Issuer"). Except as expressly amended by this Amendment No. 10, the Schedule 13D remains in full force and effect. The information set forth in response to each separate Item below shall be</w:t>
      </w:r>
    </w:p>
    <w:p>
      <w:pPr>
        <w:spacing w:after="0" w:line="24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deemed to be a response to all Items where such information is relevant.</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80"/>
        <w:spacing w:after="0" w:line="232" w:lineRule="auto"/>
        <w:rPr>
          <w:sz w:val="20"/>
          <w:szCs w:val="20"/>
          <w:color w:val="auto"/>
        </w:rPr>
      </w:pPr>
      <w:r>
        <w:rPr>
          <w:rFonts w:ascii="Times New Roman" w:cs="Times New Roman" w:eastAsia="Times New Roman" w:hAnsi="Times New Roman"/>
          <w:sz w:val="22"/>
          <w:szCs w:val="22"/>
          <w:color w:val="auto"/>
        </w:rPr>
        <w:t>Item 3 is hereby supplemented as follows: Since the filing of the Schedule 13D/A on February 14, 2025, the Issuer has granted Dr. Pardeep Nijhawan the following restricted stock units, which vested in full upon grant: (i) 2,578 restricted stock units on April 1, 2026, (ii) 1,159 restricted stock units on May 1, 2026 and (iii) 1,671 restricted stock units on June 1, 2026. Such restricted stock units were granted in lieu of partial salary. On May 29, 2025, the Issuer granted Dr. Pardeep Nijhawan 96,913 restricted stock units which shall vest monthly in equal proportions over thirty-six (36) months, commencing on the grant date. On March 2, 2026, Dr. Pardeep Nijhawan purchased an aggregate of 2,000 Common Shares at a weighted average price of $2.0000 per share for an aggregate purchase price of $4,000.00. Dr. Pardeep Nijhawan purchased the Common Shares with investment capital. On March 2, 2026, Dr. Pardeep Nijhawan purchased an aggregate of 1,000 Common Shares at a weighted average price of $2.2796 per share for an aggregate purchase price of $2,279.60. Dr. Pardeep Nijhawan purchased the Common Shares with investment capital. On March 3, 2026, Dr. Pardeep Nijhawan purchased an aggregate of 10,000 Common Shares at a weighted average price of $3.6300 per share for an aggregate purchase price of $36,300.00. Dr. Pardeep Nijhawan purchased the Common Shares with investment capital. On March 4, 2026, Dr. Pardeep Nijhawan purchased an aggregate of 10,000 Common Shares at a weighted average price of $4.2560 per share for an aggregate purchase price of $42,560.00. Dr. Pardeep Nijhawan purchased the Common Shares with investment capital. On March 5, 2026, Dr. Pardeep Nijhawan purchased an aggregate of 10,000 Common Shares at a weighted average price of $3.9000 per share for an aggregate purchase price of $39,000.00. Dr. Pardeep Nijhawan purchased the Common Shares with investment capital. On March 10, 2026, Dr. Pardeep Nijhawan purchased an aggregate of 1,000 Common Shares at a weighted average price of $6.5989 per share for an aggregate purchase price of $6,598.90. Dr. Pardeep Nijhawan purchased the Common Shares with investment capital. On June 16, 2026, the Issuer entered into a Securities Purchase Agreement (the "Purchase Agreement") with certain purchasers, including Pardeep Nijhawan, pursuant to which the Issuer sold to Pardeep Nijhawan, in a private placement, an aggregate of 153,550 Common Shares at a purchase price of $5.2100 per share for an aggregate purchase price of $799,995.50. Dr. Pardeep Nijhawan purchased the Common Shares with investment capital.</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ectPr>
          <w:pgSz w:w="11900" w:h="16860" w:orient="portrait"/>
          <w:cols w:equalWidth="0" w:num="1">
            <w:col w:w="11200"/>
          </w:cols>
          <w:pgMar w:left="360" w:top="111" w:right="339" w:bottom="0" w:gutter="0" w:footer="0" w:header="0"/>
        </w:sectPr>
      </w:pPr>
    </w:p>
    <w:bookmarkStart w:id="6" w:name="page7"/>
    <w:bookmarkEnd w:id="6"/>
    <w:p>
      <w:pPr>
        <w:spacing w:after="0" w:line="62" w:lineRule="exact"/>
        <w:rPr>
          <w:sz w:val="20"/>
          <w:szCs w:val="20"/>
          <w:color w:val="auto"/>
        </w:rPr>
      </w:pPr>
    </w:p>
    <w:p>
      <w:pPr>
        <w:ind w:left="912"/>
        <w:spacing w:after="0" w:line="242" w:lineRule="auto"/>
        <w:rPr>
          <w:sz w:val="20"/>
          <w:szCs w:val="20"/>
          <w:color w:val="auto"/>
        </w:rPr>
      </w:pPr>
      <w:r>
        <w:rPr>
          <w:rFonts w:ascii="Times New Roman" w:cs="Times New Roman" w:eastAsia="Times New Roman" w:hAnsi="Times New Roman"/>
          <w:sz w:val="21"/>
          <w:szCs w:val="21"/>
          <w:color w:val="auto"/>
        </w:rPr>
        <w:t>As of the date hereof, Pardeep Nijhawan may be deemed to be the beneficial owner of an aggregate of 2,210,022 Common Shares, comprised of: (i) sole voting and dispositive power of 927,620 Common Shares, comprised of: (a) 262,094 Common Shares, (b) 471,818 Common Shares underlying vested restricted stock units or restricted stock units that will vest within 60 days of June 16, 2026, (c) 56,875 Common Shares underlying vested share options or underlying share options that will vest within 60 days of June 16, 2026 and (d) 136,833 Common Shares underlying Series B-1 Preferred Shares that are beneficially owned and deemed outstanding with respect to this Reporting Person; and (ii) shared voting and dispositive power of 1,282,402 Common Shares, comprised of: (a) 402,702 Common Shares, an additional 326,560 Common Shares underlying vested warrants and 435,414 Common Shares underlying Series A-1 Preferred Shares that are deemed outstanding held by Pardeep Nijhawan Medicine Professional Corporation, (b) 32,013 Common Shares held by The Digestive Health Clinic Inc., (c) 53,104 Common Shares held by 1968160 Ontario Inc., and (d) 32,609 Common Shares held by The New Nijhawan Family Trust 2015. Pardeep Nijhawan's holdings exclude Common Shares underlying Series B-1 Preferred Shares held by Pardeep Nijhawan which are subject to a 19.99% beneficial ownership blocker, Common Shares underlying restricted stock units held by this Reporting Person that will not vest within 60 days of June 16, 2026 and Common Shares underlying share options held by this Reporting Person that will not vest within 60 days of June 16, 2026. The Reporting Person will not have the right to convert any portion of its Series B-1 Preferred Shares if, together with its affiliates, it would beneficially own in excess of 19.99% of the number of Common Shares outstanding immediately after giving effect to such conversion. Pardeep Nijhawan's holdings represent an aggregate of approximately 19.99% of the Issuer's outstanding Common Shares (based on a total of 9,626,964 Common Shares of the Issuer outstanding as of June 16, 2026, 56,875 Common Shares underlying vested share options or underlying share options that will vest within 60</w:t>
      </w:r>
    </w:p>
    <w:p>
      <w:pPr>
        <w:spacing w:after="0" w:line="14" w:lineRule="exact"/>
        <w:rPr>
          <w:sz w:val="20"/>
          <w:szCs w:val="20"/>
          <w:color w:val="auto"/>
        </w:rPr>
      </w:pPr>
    </w:p>
    <w:p>
      <w:pPr>
        <w:ind w:left="912" w:right="60" w:hanging="912"/>
        <w:spacing w:after="0" w:line="242" w:lineRule="auto"/>
        <w:tabs>
          <w:tab w:leader="none" w:pos="912"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of June 16, 2026, 471,818 Common Shares underlying vested restricted stock units or restricted stock units that will vest within 60 days of June 16, 2026, 326,560 Common Shares underlying vested warrants, 435,414 Common Shares underlying Series A-1 Preferred Shares and 136,833 Common Shares underlying Series B-1 Preferred Shares that are beneficially owned and deemed outstanding with respect to this Reporting Person). As of the date hereof, Pardeep Nijhawan Medicine Professional Corporation may be deemed to be the beneficial owner, with shared voting and dispositive power, of an aggregate of 1,164,676 Common Shares, comprised of: (i) 402,702 Common Shares, (ii) 326,560 Common Shares underlying vested warrants and (iii) 435,414 Common Shares underlying Series A-1 Preferred Shares that are deemed outstanding with respect to this Reporting Person. Pardeep Nijhawan Medicine Professional Corporation's holdings represent an aggregate of approximately 11.2% of the Issuer's outstanding Common Shares (based on a total of 9,626,964 Common Shares of the Issuer outstanding as of June 16, 2026, 326,560 Common Shares underlying vested warrants and 435,414 Common Shares underlying Series A-1 Preferred Shares that are deemed outstanding with respect to this Reporting Person). As of the date hereof, The Digestive Health Clinic Inc. may be deemed to be the beneficial owner, with shared voting and dispositive power, of 32,013 Common Shares, representing an aggregate of approximately 0.3% of the Issuer's outstanding Common Shares (based on a total of 9,626,964 Common Shares of the Issuer outstanding as of June 16, 2026). As of the date hereof, 1968160 Ontario Inc. may be deemed to be the beneficial owner, with shared voting and dispositive power, of 53,104 Common Shares, representing an aggregate of approximately 0.6% of the Issuer's outstanding Common Shares (based on a total of 9,626,964 Common Shares of the Issuer outstanding as of June 16, 2026). As of the date hereof, The New Nijhawan Family Trust 2015 may be deemed to be the beneficial owner, with shared voting and dispositive power, of 32,609 Common Shares, representing an aggregate of approximately 0.3% of the Issuer's outstanding Common Shares (based on a total of 9,626,964 Common Shares of the Issuer outstanding as of June 16, 2026).</w:t>
      </w:r>
    </w:p>
    <w:p>
      <w:pPr>
        <w:spacing w:after="0" w:line="19" w:lineRule="exact"/>
        <w:rPr>
          <w:rFonts w:ascii="Times New Roman" w:cs="Times New Roman" w:eastAsia="Times New Roman" w:hAnsi="Times New Roman"/>
          <w:sz w:val="21"/>
          <w:szCs w:val="21"/>
          <w:color w:val="auto"/>
        </w:rPr>
      </w:pPr>
    </w:p>
    <w:p>
      <w:pPr>
        <w:ind w:left="912" w:right="260" w:hanging="912"/>
        <w:spacing w:after="0" w:line="185" w:lineRule="auto"/>
        <w:tabs>
          <w:tab w:leader="none" w:pos="912" w:val="left"/>
        </w:tabs>
        <w:numPr>
          <w:ilvl w:val="0"/>
          <w:numId w:val="9"/>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information contained in Item 5(a) of this Schedule 13D is hereby incorporated by reference in its entirety into this Item 5(b).</w:t>
      </w:r>
    </w:p>
    <w:p>
      <w:pPr>
        <w:spacing w:after="0" w:line="17" w:lineRule="exact"/>
        <w:rPr>
          <w:rFonts w:ascii="Times New Roman" w:cs="Times New Roman" w:eastAsia="Times New Roman" w:hAnsi="Times New Roman"/>
          <w:sz w:val="39"/>
          <w:szCs w:val="39"/>
          <w:color w:val="auto"/>
          <w:vertAlign w:val="subscript"/>
        </w:rPr>
      </w:pPr>
    </w:p>
    <w:p>
      <w:pPr>
        <w:ind w:left="912" w:right="100" w:hanging="912"/>
        <w:spacing w:after="0" w:line="185" w:lineRule="auto"/>
        <w:tabs>
          <w:tab w:leader="none" w:pos="912" w:val="left"/>
        </w:tabs>
        <w:numPr>
          <w:ilvl w:val="0"/>
          <w:numId w:val="9"/>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set forth in this Schedule 13D, the Reporting Persons have not effected any transactions with respect to the Common Shares of the Issuer during the past 60 days.</w:t>
      </w:r>
    </w:p>
    <w:p>
      <w:pPr>
        <w:spacing w:after="0" w:line="287"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72"/>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852"/>
        <w:spacing w:after="0"/>
        <w:rPr>
          <w:sz w:val="20"/>
          <w:szCs w:val="20"/>
          <w:color w:val="auto"/>
        </w:rPr>
      </w:pPr>
      <w:r>
        <w:rPr>
          <w:rFonts w:ascii="Times New Roman" w:cs="Times New Roman" w:eastAsia="Times New Roman" w:hAnsi="Times New Roman"/>
          <w:sz w:val="22"/>
          <w:szCs w:val="22"/>
          <w:color w:val="auto"/>
        </w:rPr>
        <w:t>Pardeep Nijhawan Medicine Professional Corporation</w:t>
      </w:r>
    </w:p>
    <w:p>
      <w:pPr>
        <w:spacing w:after="0" w:line="152" w:lineRule="exact"/>
        <w:rPr>
          <w:sz w:val="20"/>
          <w:szCs w:val="20"/>
          <w:color w:val="auto"/>
        </w:rPr>
      </w:pPr>
    </w:p>
    <w:p>
      <w:pPr>
        <w:ind w:left="5052"/>
        <w:spacing w:after="0"/>
        <w:tabs>
          <w:tab w:leader="none" w:pos="613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Pardeep Nijhawan</w:t>
      </w:r>
    </w:p>
    <w:p>
      <w:pPr>
        <w:spacing w:after="0" w:line="44" w:lineRule="exact"/>
        <w:rPr>
          <w:sz w:val="20"/>
          <w:szCs w:val="20"/>
          <w:color w:val="auto"/>
        </w:rPr>
      </w:pPr>
    </w:p>
    <w:p>
      <w:pPr>
        <w:ind w:left="5052"/>
        <w:spacing w:after="0"/>
        <w:rPr>
          <w:sz w:val="20"/>
          <w:szCs w:val="20"/>
          <w:color w:val="auto"/>
        </w:rPr>
      </w:pPr>
      <w:r>
        <w:rPr>
          <w:rFonts w:ascii="Times New Roman" w:cs="Times New Roman" w:eastAsia="Times New Roman" w:hAnsi="Times New Roman"/>
          <w:sz w:val="22"/>
          <w:szCs w:val="22"/>
          <w:color w:val="auto"/>
        </w:rPr>
        <w:t>Name/Title: Pardeep Nijhawan, Chief Executive Officer</w:t>
      </w:r>
    </w:p>
    <w:p>
      <w:pPr>
        <w:spacing w:after="0" w:line="44" w:lineRule="exact"/>
        <w:rPr>
          <w:sz w:val="20"/>
          <w:szCs w:val="20"/>
          <w:color w:val="auto"/>
        </w:rPr>
      </w:pPr>
    </w:p>
    <w:p>
      <w:pPr>
        <w:ind w:left="5052"/>
        <w:spacing w:after="0"/>
        <w:tabs>
          <w:tab w:leader="none" w:pos="613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2992"/>
        <w:spacing w:after="0"/>
        <w:rPr>
          <w:sz w:val="20"/>
          <w:szCs w:val="20"/>
          <w:color w:val="auto"/>
        </w:rPr>
      </w:pPr>
      <w:r>
        <w:rPr>
          <w:rFonts w:ascii="Times New Roman" w:cs="Times New Roman" w:eastAsia="Times New Roman" w:hAnsi="Times New Roman"/>
          <w:sz w:val="22"/>
          <w:szCs w:val="22"/>
          <w:color w:val="auto"/>
        </w:rPr>
        <w:t>The Digestive Health Clinic Inc.</w:t>
      </w:r>
    </w:p>
    <w:p>
      <w:pPr>
        <w:spacing w:after="0" w:line="152" w:lineRule="exact"/>
        <w:rPr>
          <w:sz w:val="20"/>
          <w:szCs w:val="20"/>
          <w:color w:val="auto"/>
        </w:rPr>
      </w:pPr>
    </w:p>
    <w:p>
      <w:pPr>
        <w:ind w:left="5052"/>
        <w:spacing w:after="0"/>
        <w:tabs>
          <w:tab w:leader="none" w:pos="613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Pardeep Nijhawan</w:t>
      </w:r>
    </w:p>
    <w:p>
      <w:pPr>
        <w:spacing w:after="0" w:line="44" w:lineRule="exact"/>
        <w:rPr>
          <w:sz w:val="20"/>
          <w:szCs w:val="20"/>
          <w:color w:val="auto"/>
        </w:rPr>
      </w:pPr>
    </w:p>
    <w:p>
      <w:pPr>
        <w:ind w:left="5052"/>
        <w:spacing w:after="0"/>
        <w:rPr>
          <w:sz w:val="20"/>
          <w:szCs w:val="20"/>
          <w:color w:val="auto"/>
        </w:rPr>
      </w:pPr>
      <w:r>
        <w:rPr>
          <w:rFonts w:ascii="Times New Roman" w:cs="Times New Roman" w:eastAsia="Times New Roman" w:hAnsi="Times New Roman"/>
          <w:sz w:val="22"/>
          <w:szCs w:val="22"/>
          <w:color w:val="auto"/>
        </w:rPr>
        <w:t>Name/Title: Pardeep Nijhawan, Chief Executive Officer</w:t>
      </w:r>
    </w:p>
    <w:p>
      <w:pPr>
        <w:spacing w:after="0" w:line="44" w:lineRule="exact"/>
        <w:rPr>
          <w:sz w:val="20"/>
          <w:szCs w:val="20"/>
          <w:color w:val="auto"/>
        </w:rPr>
      </w:pPr>
    </w:p>
    <w:p>
      <w:pPr>
        <w:ind w:left="5052"/>
        <w:spacing w:after="0"/>
        <w:tabs>
          <w:tab w:leader="none" w:pos="613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2032"/>
        <w:spacing w:after="0"/>
        <w:rPr>
          <w:sz w:val="20"/>
          <w:szCs w:val="20"/>
          <w:color w:val="auto"/>
        </w:rPr>
      </w:pPr>
      <w:r>
        <w:rPr>
          <w:rFonts w:ascii="Times New Roman" w:cs="Times New Roman" w:eastAsia="Times New Roman" w:hAnsi="Times New Roman"/>
          <w:sz w:val="22"/>
          <w:szCs w:val="22"/>
          <w:color w:val="auto"/>
        </w:rPr>
        <w:t>1968160 Ontario Inc.</w:t>
      </w:r>
    </w:p>
    <w:p>
      <w:pPr>
        <w:spacing w:after="0" w:line="152" w:lineRule="exact"/>
        <w:rPr>
          <w:sz w:val="20"/>
          <w:szCs w:val="20"/>
          <w:color w:val="auto"/>
        </w:rPr>
      </w:pPr>
    </w:p>
    <w:p>
      <w:pPr>
        <w:ind w:left="5052"/>
        <w:spacing w:after="0"/>
        <w:tabs>
          <w:tab w:leader="none" w:pos="613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Pardeep Nijhawan</w:t>
      </w:r>
    </w:p>
    <w:p>
      <w:pPr>
        <w:spacing w:after="0" w:line="44" w:lineRule="exact"/>
        <w:rPr>
          <w:sz w:val="20"/>
          <w:szCs w:val="20"/>
          <w:color w:val="auto"/>
        </w:rPr>
      </w:pPr>
    </w:p>
    <w:p>
      <w:pPr>
        <w:ind w:left="5052"/>
        <w:spacing w:after="0"/>
        <w:rPr>
          <w:sz w:val="20"/>
          <w:szCs w:val="20"/>
          <w:color w:val="auto"/>
        </w:rPr>
      </w:pPr>
      <w:r>
        <w:rPr>
          <w:rFonts w:ascii="Times New Roman" w:cs="Times New Roman" w:eastAsia="Times New Roman" w:hAnsi="Times New Roman"/>
          <w:sz w:val="22"/>
          <w:szCs w:val="22"/>
          <w:color w:val="auto"/>
        </w:rPr>
        <w:t>Name/Title: Pardeep Nijhawan, Chief Executive Officer</w:t>
      </w:r>
    </w:p>
    <w:p>
      <w:pPr>
        <w:spacing w:after="0" w:line="44" w:lineRule="exact"/>
        <w:rPr>
          <w:sz w:val="20"/>
          <w:szCs w:val="20"/>
          <w:color w:val="auto"/>
        </w:rPr>
      </w:pPr>
    </w:p>
    <w:p>
      <w:pPr>
        <w:ind w:left="5052"/>
        <w:spacing w:after="0"/>
        <w:tabs>
          <w:tab w:leader="none" w:pos="613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ectPr>
          <w:pgSz w:w="11900" w:h="16901" w:orient="portrait"/>
          <w:cols w:equalWidth="0" w:num="1">
            <w:col w:w="11132"/>
          </w:cols>
          <w:pgMar w:left="368" w:top="126" w:right="399" w:bottom="0" w:gutter="0" w:footer="0" w:header="0"/>
        </w:sectPr>
      </w:pPr>
    </w:p>
    <w:bookmarkStart w:id="7" w:name="page8"/>
    <w:bookmarkEnd w:id="7"/>
    <w:p>
      <w:pPr>
        <w:ind w:left="2460"/>
        <w:spacing w:after="0"/>
        <w:rPr>
          <w:sz w:val="20"/>
          <w:szCs w:val="20"/>
          <w:color w:val="auto"/>
        </w:rPr>
      </w:pPr>
      <w:r>
        <w:rPr>
          <w:rFonts w:ascii="Times New Roman" w:cs="Times New Roman" w:eastAsia="Times New Roman" w:hAnsi="Times New Roman"/>
          <w:sz w:val="22"/>
          <w:szCs w:val="22"/>
          <w:color w:val="auto"/>
        </w:rPr>
        <w:t>The New Nijhawan Family Trust 2015</w:t>
      </w:r>
    </w:p>
    <w:p>
      <w:pPr>
        <w:spacing w:after="0" w:line="152" w:lineRule="exact"/>
        <w:rPr>
          <w:sz w:val="20"/>
          <w:szCs w:val="20"/>
          <w:color w:val="auto"/>
        </w:rPr>
      </w:pPr>
    </w:p>
    <w:p>
      <w:pPr>
        <w:ind w:left="2540"/>
        <w:spacing w:after="0"/>
        <w:tabs>
          <w:tab w:leader="none" w:pos="3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Pardeep Nijhawan</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1"/>
          <w:szCs w:val="21"/>
          <w:color w:val="auto"/>
        </w:rPr>
        <w:t>Name/Title: Pardeep Nijhawan, Trustee</w:t>
      </w:r>
    </w:p>
    <w:p>
      <w:pPr>
        <w:spacing w:after="0" w:line="56" w:lineRule="exact"/>
        <w:rPr>
          <w:sz w:val="20"/>
          <w:szCs w:val="20"/>
          <w:color w:val="auto"/>
        </w:rPr>
      </w:pPr>
    </w:p>
    <w:p>
      <w:pPr>
        <w:ind w:left="2540"/>
        <w:spacing w:after="0"/>
        <w:tabs>
          <w:tab w:leader="none" w:pos="3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Pardeep Nijhawan</w:t>
      </w:r>
    </w:p>
    <w:p>
      <w:pPr>
        <w:spacing w:after="0" w:line="152" w:lineRule="exact"/>
        <w:rPr>
          <w:sz w:val="20"/>
          <w:szCs w:val="20"/>
          <w:color w:val="auto"/>
        </w:rPr>
      </w:pPr>
    </w:p>
    <w:p>
      <w:pPr>
        <w:ind w:left="2040"/>
        <w:spacing w:after="0"/>
        <w:tabs>
          <w:tab w:leader="none" w:pos="3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Pardeep Nijhawan</w:t>
      </w:r>
    </w:p>
    <w:p>
      <w:pPr>
        <w:spacing w:after="0" w:line="4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Name/Title: Pardeep Nijhawan</w:t>
      </w:r>
    </w:p>
    <w:p>
      <w:pPr>
        <w:spacing w:after="0" w:line="44" w:lineRule="exact"/>
        <w:rPr>
          <w:sz w:val="20"/>
          <w:szCs w:val="20"/>
          <w:color w:val="auto"/>
        </w:rPr>
      </w:pPr>
    </w:p>
    <w:p>
      <w:pPr>
        <w:ind w:left="2040"/>
        <w:spacing w:after="0"/>
        <w:tabs>
          <w:tab w:leader="none" w:pos="3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sectPr>
      <w:pgSz w:w="11900" w:h="16838" w:orient="portrait"/>
      <w:cols w:equalWidth="0" w:num="1">
        <w:col w:w="9019"/>
      </w:cols>
      <w:pgMar w:left="1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2"/>
      <w:numFmt w:val="bullet"/>
      <w:start w:val="1"/>
    </w:lvl>
  </w:abstractNum>
  <w:abstractNum w:abstractNumId="5">
    <w:nsid w:val="79E2A9E3"/>
    <w:multiLevelType w:val="hybridMultilevel"/>
    <w:lvl w:ilvl="0">
      <w:lvlJc w:val="left"/>
      <w:lvlText w:val="3"/>
      <w:numFmt w:val="bullet"/>
      <w:start w:val="1"/>
    </w:lvl>
  </w:abstractNum>
  <w:abstractNum w:abstractNumId="6">
    <w:nsid w:val="7545E146"/>
    <w:multiLevelType w:val="hybridMultilevel"/>
    <w:lvl w:ilvl="0">
      <w:lvlJc w:val="left"/>
      <w:lvlText w:val="2"/>
      <w:numFmt w:val="bullet"/>
      <w:start w:val="1"/>
    </w:lvl>
  </w:abstractNum>
  <w:abstractNum w:abstractNumId="7">
    <w:nsid w:val="515F007C"/>
    <w:multiLevelType w:val="hybridMultilevel"/>
    <w:lvl w:ilvl="0">
      <w:lvlJc w:val="left"/>
      <w:lvlText w:val="3"/>
      <w:numFmt w:val="bullet"/>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2026-06-16T16:07:50Z</dcterms:created>
  <dcterms:modified xsi:type="dcterms:W3CDTF">2026-06-16T16:07:50Z</dcterms:modified>
</cp:coreProperties>
</file>