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Nijhawan Pardeep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EDESA BIOTECH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SPY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MARKHAM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L3R 5H6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ONTARIO,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Edesa Biotech, Inc.</w:t>
              </w:r>
            </w:hyperlink>
            <w:r>
              <w:rPr/>
              <w:t xml:space="preserve"> [ </w:t>
            </w:r>
            <w:r>
              <w:rPr>
                <w:rFonts w:ascii="Times;serif" w:hAnsi="Times;serif"/>
                <w:color w:val="0000FF"/>
                <w:sz w:val="24"/>
                <w:shd w:fill="FFFFFF" w:val="clear"/>
              </w:rPr>
              <w:t>EDSA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12"/>
        <w:gridCol w:w="948"/>
        <w:gridCol w:w="816"/>
        <w:gridCol w:w="629"/>
        <w:gridCol w:w="343"/>
        <w:gridCol w:w="862"/>
        <w:gridCol w:w="410"/>
        <w:gridCol w:w="583"/>
        <w:gridCol w:w="1111"/>
        <w:gridCol w:w="966"/>
        <w:gridCol w:w="17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1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7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1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7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5,324</w:t>
            </w:r>
            <w:r>
              <w:rPr>
                <w:rFonts w:ascii="Times;serif" w:hAnsi="Times;serif"/>
                <w:color w:val="008000"/>
                <w:position w:val="7"/>
                <w:sz w:val="16"/>
                <w:sz w:val="20"/>
                <w:shd w:fill="FFFFFF" w:val="clear"/>
              </w:rPr>
              <w:t>(1)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893,386</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7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402,702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Pardeep Nijhawan Medicine Professional Corporation</w:t>
            </w:r>
            <w:r>
              <w:rPr>
                <w:rFonts w:ascii="Times;serif" w:hAnsi="Times;serif"/>
                <w:color w:val="008000"/>
                <w:position w:val="7"/>
                <w:sz w:val="16"/>
                <w:sz w:val="20"/>
                <w:shd w:fill="FFFFFF" w:val="clear"/>
              </w:rPr>
              <w:t>(2)</w:t>
            </w:r>
          </w:p>
        </w:tc>
      </w:tr>
      <w:tr>
        <w:trPr/>
        <w:tc>
          <w:tcPr>
            <w:tcW w:w="18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32,609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The New Nijhawan Family Trust 2015</w:t>
            </w:r>
            <w:r>
              <w:rPr>
                <w:rFonts w:ascii="Times;serif" w:hAnsi="Times;serif"/>
                <w:color w:val="008000"/>
                <w:position w:val="7"/>
                <w:sz w:val="16"/>
                <w:sz w:val="20"/>
                <w:shd w:fill="FFFFFF" w:val="clear"/>
              </w:rPr>
              <w:t>(3)</w:t>
            </w:r>
          </w:p>
        </w:tc>
      </w:tr>
      <w:tr>
        <w:trPr/>
        <w:tc>
          <w:tcPr>
            <w:tcW w:w="18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32,013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The Digestive Health Clinic Inc.</w:t>
            </w:r>
            <w:r>
              <w:rPr>
                <w:rFonts w:ascii="Times;serif" w:hAnsi="Times;serif"/>
                <w:color w:val="008000"/>
                <w:position w:val="7"/>
                <w:sz w:val="16"/>
                <w:sz w:val="20"/>
                <w:shd w:fill="FFFFFF" w:val="clear"/>
              </w:rPr>
              <w:t>(2)</w:t>
            </w:r>
          </w:p>
        </w:tc>
      </w:tr>
      <w:tr>
        <w:trPr/>
        <w:tc>
          <w:tcPr>
            <w:tcW w:w="181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53,104</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1968160Ontario Inc.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share units, which vested in full upon grant, pursuant to the Issuer's 2019 Equity Incentive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of Pardeep Medicine Professional Corporation, The Digestive Health Clinic Inc. and 1968160 Ontario Inc. are wholly-owned by Reporting Person.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Reporting Person is a co-trustee of The New Nijhawan Family Trust 2015.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J. Weiler, Attorney-in-Fact for Pardeep Nijhawan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962" TargetMode="External"/><Relationship Id="rId5" Type="http://schemas.openxmlformats.org/officeDocument/2006/relationships/hyperlink" Target="http://www.sec.gov/cgi-bin/browse-edgar?action=getcompany&amp;CIK=00015401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4201</Characters>
  <CharactersWithSpaces>4889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