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8k_081726.htm"/>
      <w:bookmarkStart w:id="1" w:name="ksf8k_081726"/>
      <w:bookmarkEnd w:id="0"/>
      <w:bookmarkEnd w:id="1"/>
      <w:r>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b/>
          <w:sz w:val="36"/>
        </w:rPr>
      </w:pPr>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 xml:space="preserve">Washington, D.C. 20549 </w:t>
      </w:r>
    </w:p>
    <w:p>
      <w:pPr>
        <w:pStyle w:val="TextBody"/>
        <w:pBdr>
          <w:bottom w:val="single" w:sz="8" w:space="1" w:color="000000"/>
        </w:pBdr>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w:t>
      </w:r>
      <w:bookmarkStart w:id="2" w:name="xdx_905_edei--DocumentType_c20260817__20"/>
      <w:bookmarkEnd w:id="2"/>
      <w:r>
        <w:rPr>
          <w:b/>
          <w:sz w:val="36"/>
        </w:rPr>
        <w:t>8-K</w:t>
      </w:r>
    </w:p>
    <w:p>
      <w:pPr>
        <w:pStyle w:val="TextBody"/>
        <w:pBdr>
          <w:bottom w:val="single" w:sz="8" w:space="1" w:color="000000"/>
        </w:pBdr>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CURRENT REPORT </w:t>
      </w:r>
    </w:p>
    <w:p>
      <w:pPr>
        <w:pStyle w:val="TextBody"/>
        <w:bidi w:val="0"/>
        <w:spacing w:before="0" w:after="0"/>
        <w:ind w:left="0" w:right="0" w:hanging="0"/>
        <w:jc w:val="center"/>
        <w:rPr>
          <w:b/>
          <w:sz w:val="20"/>
        </w:rPr>
      </w:pPr>
      <w:r>
        <w:rPr>
          <w:b/>
          <w:sz w:val="20"/>
        </w:rPr>
        <w:t xml:space="preserve">PURSUANT TO SECTION 13 OR 15(d) OF </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Date of Report (Date of earliest event reported): </w:t>
      </w:r>
      <w:bookmarkStart w:id="3" w:name="xdx_900_edei--DocumentPeriodEndDate_c202"/>
      <w:bookmarkEnd w:id="3"/>
      <w:r>
        <w:rPr>
          <w:b/>
          <w:sz w:val="20"/>
        </w:rPr>
        <w:t>August 19,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48"/>
        </w:rPr>
      </w:pPr>
      <w:bookmarkStart w:id="4" w:name="xdx_900_edei--EntityRegistrantName_c2026"/>
      <w:bookmarkEnd w:id="4"/>
      <w:r>
        <w:rPr>
          <w:b/>
          <w:sz w:val="48"/>
        </w:rPr>
        <w:t>Edesa Biotech, Inc.</w:t>
      </w:r>
    </w:p>
    <w:p>
      <w:pPr>
        <w:pStyle w:val="TextBody"/>
        <w:bidi w:val="0"/>
        <w:spacing w:before="0" w:after="0"/>
        <w:ind w:left="0" w:right="0" w:hanging="0"/>
        <w:jc w:val="center"/>
        <w:rPr>
          <w:b/>
          <w:sz w:val="20"/>
        </w:rPr>
      </w:pPr>
      <w:r>
        <w:rPr>
          <w:b/>
          <w:sz w:val="20"/>
        </w:rPr>
        <w:t>(Exact Name of Registrant as Specified in its Charter)</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tbl>
      <w:tblPr>
        <w:tblW w:w="6039" w:type="dxa"/>
        <w:jc w:val="left"/>
        <w:tblInd w:w="0" w:type="dxa"/>
        <w:tblLayout w:type="fixed"/>
        <w:tblCellMar>
          <w:top w:w="0" w:type="dxa"/>
          <w:left w:w="0" w:type="dxa"/>
          <w:bottom w:w="0" w:type="dxa"/>
          <w:right w:w="0" w:type="dxa"/>
        </w:tblCellMar>
      </w:tblPr>
      <w:tblGrid>
        <w:gridCol w:w="3121"/>
        <w:gridCol w:w="83"/>
        <w:gridCol w:w="505"/>
        <w:gridCol w:w="365"/>
        <w:gridCol w:w="370"/>
        <w:gridCol w:w="60"/>
        <w:gridCol w:w="1535"/>
      </w:tblGrid>
      <w:tr>
        <w:trPr/>
        <w:tc>
          <w:tcPr>
            <w:tcW w:w="3121" w:type="dxa"/>
            <w:tcBorders/>
            <w:vAlign w:val="center"/>
          </w:tcPr>
          <w:p>
            <w:pPr>
              <w:pStyle w:val="TableContents"/>
              <w:bidi w:val="0"/>
              <w:spacing w:before="0" w:after="283"/>
              <w:jc w:val="center"/>
              <w:rPr>
                <w:b/>
                <w:sz w:val="20"/>
              </w:rPr>
            </w:pPr>
            <w:bookmarkStart w:id="5" w:name="xdx_90B_edei--EntityIncorporationStateCo"/>
            <w:bookmarkEnd w:id="5"/>
            <w:r>
              <w:rPr>
                <w:b/>
                <w:sz w:val="20"/>
              </w:rPr>
              <w:t>British Columbia, Canada</w:t>
            </w:r>
          </w:p>
        </w:tc>
        <w:tc>
          <w:tcPr>
            <w:tcW w:w="83" w:type="dxa"/>
            <w:tcBorders/>
            <w:vAlign w:val="center"/>
          </w:tcPr>
          <w:p>
            <w:pPr>
              <w:pStyle w:val="TableContents"/>
              <w:bidi w:val="0"/>
              <w:spacing w:before="0" w:after="283"/>
              <w:jc w:val="left"/>
              <w:rPr/>
            </w:pPr>
            <w:r>
              <w:rPr/>
              <w:t> </w:t>
            </w:r>
          </w:p>
        </w:tc>
        <w:tc>
          <w:tcPr>
            <w:tcW w:w="1240" w:type="dxa"/>
            <w:gridSpan w:val="3"/>
            <w:tcBorders/>
            <w:vAlign w:val="center"/>
          </w:tcPr>
          <w:p>
            <w:pPr>
              <w:pStyle w:val="TableContents"/>
              <w:bidi w:val="0"/>
              <w:spacing w:before="0" w:after="283"/>
              <w:jc w:val="center"/>
              <w:rPr>
                <w:b/>
                <w:sz w:val="20"/>
              </w:rPr>
            </w:pPr>
            <w:bookmarkStart w:id="6" w:name="xdx_90A_edei--EntityFileNumber_c20260817"/>
            <w:bookmarkEnd w:id="6"/>
            <w:r>
              <w:rPr>
                <w:b/>
                <w:sz w:val="20"/>
              </w:rPr>
              <w:t>001-37619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r>
              <w:rPr>
                <w:b/>
                <w:sz w:val="20"/>
              </w:rPr>
              <w:t>N/A</w:t>
            </w:r>
          </w:p>
        </w:tc>
      </w:tr>
      <w:tr>
        <w:trPr/>
        <w:tc>
          <w:tcPr>
            <w:tcW w:w="3121" w:type="dxa"/>
            <w:tcBorders/>
            <w:vAlign w:val="center"/>
          </w:tcPr>
          <w:p>
            <w:pPr>
              <w:pStyle w:val="TableContents"/>
              <w:bidi w:val="0"/>
              <w:spacing w:before="0" w:after="0"/>
              <w:ind w:left="0" w:right="0" w:hanging="0"/>
              <w:jc w:val="center"/>
              <w:rPr>
                <w:sz w:val="20"/>
              </w:rPr>
            </w:pPr>
            <w:r>
              <w:rPr>
                <w:sz w:val="20"/>
              </w:rPr>
              <w:t>(State or Other Jurisdiction</w:t>
            </w:r>
          </w:p>
          <w:p>
            <w:pPr>
              <w:pStyle w:val="TableContents"/>
              <w:bidi w:val="0"/>
              <w:spacing w:before="0" w:after="0"/>
              <w:ind w:left="0" w:right="0" w:hanging="0"/>
              <w:jc w:val="center"/>
              <w:rPr>
                <w:sz w:val="20"/>
              </w:rPr>
            </w:pPr>
            <w:r>
              <w:rPr>
                <w:sz w:val="20"/>
              </w:rPr>
              <w:t>of Incorporation)</w:t>
            </w:r>
          </w:p>
        </w:tc>
        <w:tc>
          <w:tcPr>
            <w:tcW w:w="83" w:type="dxa"/>
            <w:tcBorders/>
            <w:vAlign w:val="center"/>
          </w:tcPr>
          <w:p>
            <w:pPr>
              <w:pStyle w:val="TableContents"/>
              <w:bidi w:val="0"/>
              <w:spacing w:before="0" w:after="283"/>
              <w:jc w:val="left"/>
              <w:rPr/>
            </w:pPr>
            <w:r>
              <w:rPr/>
              <w:t> </w:t>
            </w:r>
          </w:p>
        </w:tc>
        <w:tc>
          <w:tcPr>
            <w:tcW w:w="1240" w:type="dxa"/>
            <w:gridSpan w:val="3"/>
            <w:tcBorders/>
            <w:vAlign w:val="center"/>
          </w:tcPr>
          <w:p>
            <w:pPr>
              <w:pStyle w:val="TableContents"/>
              <w:bidi w:val="0"/>
              <w:spacing w:before="0" w:after="0"/>
              <w:ind w:left="0" w:right="0" w:hanging="0"/>
              <w:jc w:val="center"/>
              <w:rPr>
                <w:sz w:val="20"/>
              </w:rPr>
            </w:pPr>
            <w:r>
              <w:rPr>
                <w:sz w:val="20"/>
              </w:rPr>
              <w:t>(Commission</w:t>
            </w:r>
          </w:p>
          <w:p>
            <w:pPr>
              <w:pStyle w:val="TableContents"/>
              <w:bidi w:val="0"/>
              <w:spacing w:before="0" w:after="0"/>
              <w:ind w:left="0" w:right="0" w:hanging="0"/>
              <w:jc w:val="center"/>
              <w:rPr>
                <w:sz w:val="20"/>
              </w:rPr>
            </w:pPr>
            <w:r>
              <w:rPr>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sz w:val="20"/>
              </w:rPr>
            </w:pPr>
            <w:r>
              <w:rPr>
                <w:sz w:val="20"/>
              </w:rPr>
              <w:t>(IRS Employer</w:t>
            </w:r>
          </w:p>
          <w:p>
            <w:pPr>
              <w:pStyle w:val="TableContents"/>
              <w:bidi w:val="0"/>
              <w:spacing w:before="0" w:after="0"/>
              <w:ind w:left="0" w:right="0" w:hanging="0"/>
              <w:jc w:val="center"/>
              <w:rPr>
                <w:sz w:val="20"/>
              </w:rPr>
            </w:pPr>
            <w:r>
              <w:rPr>
                <w:sz w:val="20"/>
              </w:rPr>
              <w:t>Identification No.)</w:t>
            </w:r>
          </w:p>
        </w:tc>
      </w:tr>
      <w:tr>
        <w:trPr/>
        <w:tc>
          <w:tcPr>
            <w:tcW w:w="4444" w:type="dxa"/>
            <w:gridSpan w:val="5"/>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r>
      <w:tr>
        <w:trPr/>
        <w:tc>
          <w:tcPr>
            <w:tcW w:w="3709" w:type="dxa"/>
            <w:gridSpan w:val="3"/>
            <w:tcBorders/>
            <w:vAlign w:val="center"/>
          </w:tcPr>
          <w:p>
            <w:pPr>
              <w:pStyle w:val="TableContents"/>
              <w:bidi w:val="0"/>
              <w:spacing w:before="0" w:after="283"/>
              <w:jc w:val="center"/>
              <w:rPr>
                <w:b/>
                <w:sz w:val="20"/>
              </w:rPr>
            </w:pPr>
            <w:bookmarkStart w:id="7" w:name="xdx_90B_edei--EntityAddressAddressLine1_"/>
            <w:bookmarkEnd w:id="7"/>
            <w:r>
              <w:rPr>
                <w:b/>
                <w:sz w:val="20"/>
              </w:rPr>
              <w:t xml:space="preserve">100 Spy Court, </w:t>
            </w:r>
            <w:bookmarkStart w:id="8" w:name="xdx_90D_edei--EntityAddressCityOrTown_c2"/>
            <w:bookmarkEnd w:id="8"/>
            <w:r>
              <w:rPr>
                <w:b/>
                <w:sz w:val="20"/>
              </w:rPr>
              <w:t xml:space="preserve">Markham, </w:t>
            </w:r>
            <w:bookmarkStart w:id="9" w:name="xdx_900_edei--EntityAddressStateOrProvin"/>
            <w:bookmarkEnd w:id="9"/>
            <w:r>
              <w:rPr>
                <w:b/>
                <w:sz w:val="20"/>
              </w:rPr>
              <w:t xml:space="preserve">Ontario, </w:t>
            </w:r>
            <w:bookmarkStart w:id="10" w:name="xdx_902_edei--EntityAddressCountry_c2026"/>
            <w:bookmarkEnd w:id="10"/>
            <w:r>
              <w:rPr>
                <w:b/>
                <w:sz w:val="20"/>
              </w:rPr>
              <w:t>Canada</w:t>
            </w:r>
          </w:p>
        </w:tc>
        <w:tc>
          <w:tcPr>
            <w:tcW w:w="365" w:type="dxa"/>
            <w:tcBorders/>
            <w:vAlign w:val="center"/>
          </w:tcPr>
          <w:p>
            <w:pPr>
              <w:pStyle w:val="TableContents"/>
              <w:bidi w:val="0"/>
              <w:spacing w:before="0" w:after="283"/>
              <w:jc w:val="center"/>
              <w:rPr/>
            </w:pPr>
            <w:r>
              <w:rPr/>
              <w:t> </w:t>
            </w:r>
          </w:p>
        </w:tc>
        <w:tc>
          <w:tcPr>
            <w:tcW w:w="1965" w:type="dxa"/>
            <w:gridSpan w:val="3"/>
            <w:tcBorders/>
            <w:vAlign w:val="center"/>
          </w:tcPr>
          <w:p>
            <w:pPr>
              <w:pStyle w:val="TableContents"/>
              <w:bidi w:val="0"/>
              <w:spacing w:before="0" w:after="283"/>
              <w:jc w:val="center"/>
              <w:rPr>
                <w:b/>
                <w:sz w:val="20"/>
              </w:rPr>
            </w:pPr>
            <w:bookmarkStart w:id="11" w:name="xdx_90F_edei--EntityAddressPostalZipCode"/>
            <w:bookmarkEnd w:id="11"/>
            <w:r>
              <w:rPr>
                <w:b/>
                <w:sz w:val="20"/>
              </w:rPr>
              <w:t>L3R 5H6</w:t>
            </w:r>
          </w:p>
        </w:tc>
      </w:tr>
      <w:tr>
        <w:trPr/>
        <w:tc>
          <w:tcPr>
            <w:tcW w:w="3709" w:type="dxa"/>
            <w:gridSpan w:val="3"/>
            <w:tcBorders/>
            <w:vAlign w:val="center"/>
          </w:tcPr>
          <w:p>
            <w:pPr>
              <w:pStyle w:val="TableContents"/>
              <w:bidi w:val="0"/>
              <w:spacing w:before="0" w:after="283"/>
              <w:jc w:val="center"/>
              <w:rPr>
                <w:sz w:val="20"/>
              </w:rPr>
            </w:pPr>
            <w:r>
              <w:rPr>
                <w:sz w:val="20"/>
              </w:rPr>
              <w:t>(Address of Principal Executive Offices)</w:t>
            </w:r>
          </w:p>
        </w:tc>
        <w:tc>
          <w:tcPr>
            <w:tcW w:w="365" w:type="dxa"/>
            <w:tcBorders/>
            <w:vAlign w:val="center"/>
          </w:tcPr>
          <w:p>
            <w:pPr>
              <w:pStyle w:val="TableContents"/>
              <w:bidi w:val="0"/>
              <w:spacing w:before="0" w:after="283"/>
              <w:jc w:val="center"/>
              <w:rPr/>
            </w:pPr>
            <w:r>
              <w:rPr/>
              <w:t> </w:t>
            </w:r>
          </w:p>
        </w:tc>
        <w:tc>
          <w:tcPr>
            <w:tcW w:w="1965" w:type="dxa"/>
            <w:gridSpan w:val="3"/>
            <w:tcBorders/>
            <w:vAlign w:val="center"/>
          </w:tcPr>
          <w:p>
            <w:pPr>
              <w:pStyle w:val="TableContents"/>
              <w:bidi w:val="0"/>
              <w:spacing w:before="0" w:after="283"/>
              <w:jc w:val="center"/>
              <w:rPr>
                <w:sz w:val="20"/>
              </w:rPr>
            </w:pPr>
            <w:r>
              <w:rPr>
                <w:sz w:val="20"/>
              </w:rPr>
              <w:t>(Zip Code)</w:t>
            </w:r>
          </w:p>
        </w:tc>
      </w:tr>
      <w:tr>
        <w:trPr/>
        <w:tc>
          <w:tcPr>
            <w:tcW w:w="312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2" w:name="xdx_900_edei--CityAreaCode_c20260817__20"/>
      <w:bookmarkEnd w:id="12"/>
      <w:r>
        <w:rPr>
          <w:b/>
          <w:sz w:val="20"/>
        </w:rPr>
        <w:t xml:space="preserve">(289) </w:t>
      </w:r>
      <w:bookmarkStart w:id="13" w:name="xdx_90D_edei--LocalPhoneNumber_c20260817"/>
      <w:bookmarkEnd w:id="13"/>
      <w:r>
        <w:rPr>
          <w:b/>
          <w:sz w:val="20"/>
        </w:rPr>
        <w:t>800-9600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N/A</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firstLine="72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 (</w:t>
      </w:r>
      <w:r>
        <w:rPr>
          <w:sz w:val="20"/>
          <w:u w:val="single"/>
        </w:rPr>
        <w:t>see</w:t>
      </w:r>
      <w:r>
        <w:rPr>
          <w:sz w:val="20"/>
        </w:rPr>
        <w:t xml:space="preserve"> General Instruction A.2. below):</w:t>
      </w:r>
    </w:p>
    <w:p>
      <w:pPr>
        <w:pStyle w:val="TextBody"/>
        <w:bidi w:val="0"/>
        <w:spacing w:before="0" w:after="0"/>
        <w:ind w:left="0" w:right="0" w:firstLine="720"/>
        <w:jc w:val="left"/>
        <w:rPr/>
      </w:pPr>
      <w:r>
        <w:rPr/>
        <w:t> </w:t>
      </w:r>
    </w:p>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pPr>
            <w:bookmarkStart w:id="14" w:name="xdx_909_edei--WrittenCommunications_c202"/>
            <w:bookmarkEnd w:id="14"/>
            <w:r>
              <w:rPr/>
              <w:t>☐ </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firstLine="720"/>
        <w:jc w:val="left"/>
        <w:rPr/>
      </w:pPr>
      <w:r>
        <w:rPr/>
        <w:t> </w:t>
      </w:r>
    </w:p>
    <w:tbl>
      <w:tblPr>
        <w:tblW w:w="7675" w:type="dxa"/>
        <w:jc w:val="left"/>
        <w:tblInd w:w="0" w:type="dxa"/>
        <w:tblLayout w:type="fixed"/>
        <w:tblCellMar>
          <w:top w:w="0" w:type="dxa"/>
          <w:left w:w="0" w:type="dxa"/>
          <w:bottom w:w="0" w:type="dxa"/>
          <w:right w:w="0" w:type="dxa"/>
        </w:tblCellMar>
      </w:tblPr>
      <w:tblGrid>
        <w:gridCol w:w="305"/>
        <w:gridCol w:w="7370"/>
      </w:tblGrid>
      <w:tr>
        <w:trPr/>
        <w:tc>
          <w:tcPr>
            <w:tcW w:w="305" w:type="dxa"/>
            <w:tcBorders/>
            <w:vAlign w:val="center"/>
          </w:tcPr>
          <w:p>
            <w:pPr>
              <w:pStyle w:val="TableContents"/>
              <w:bidi w:val="0"/>
              <w:spacing w:before="0" w:after="283"/>
              <w:jc w:val="left"/>
              <w:rPr/>
            </w:pPr>
            <w:bookmarkStart w:id="15" w:name="xdx_901_edei--SolicitingMaterial_c202608"/>
            <w:bookmarkEnd w:id="15"/>
            <w:r>
              <w:rPr/>
              <w:t>☐ </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firstLine="720"/>
        <w:jc w:val="left"/>
        <w:rPr/>
      </w:pPr>
      <w:r>
        <w:rPr/>
        <w:t> </w:t>
      </w:r>
    </w:p>
    <w:tbl>
      <w:tblPr>
        <w:tblW w:w="9415" w:type="dxa"/>
        <w:jc w:val="left"/>
        <w:tblInd w:w="0" w:type="dxa"/>
        <w:tblLayout w:type="fixed"/>
        <w:tblCellMar>
          <w:top w:w="0" w:type="dxa"/>
          <w:left w:w="0" w:type="dxa"/>
          <w:bottom w:w="0" w:type="dxa"/>
          <w:right w:w="0" w:type="dxa"/>
        </w:tblCellMar>
      </w:tblPr>
      <w:tblGrid>
        <w:gridCol w:w="305"/>
        <w:gridCol w:w="9110"/>
      </w:tblGrid>
      <w:tr>
        <w:trPr/>
        <w:tc>
          <w:tcPr>
            <w:tcW w:w="305" w:type="dxa"/>
            <w:tcBorders/>
            <w:vAlign w:val="center"/>
          </w:tcPr>
          <w:p>
            <w:pPr>
              <w:pStyle w:val="TableContents"/>
              <w:bidi w:val="0"/>
              <w:spacing w:before="0" w:after="283"/>
              <w:jc w:val="left"/>
              <w:rPr/>
            </w:pPr>
            <w:bookmarkStart w:id="16" w:name="xdx_904_edei--PreCommencementTenderOffer"/>
            <w:bookmarkEnd w:id="16"/>
            <w:r>
              <w:rPr/>
              <w:t>☐ </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firstLine="720"/>
        <w:jc w:val="left"/>
        <w:rPr/>
      </w:pPr>
      <w:r>
        <w:rPr/>
        <w:t> </w:t>
      </w:r>
    </w:p>
    <w:tbl>
      <w:tblPr>
        <w:tblW w:w="9355" w:type="dxa"/>
        <w:jc w:val="left"/>
        <w:tblInd w:w="0" w:type="dxa"/>
        <w:tblLayout w:type="fixed"/>
        <w:tblCellMar>
          <w:top w:w="0" w:type="dxa"/>
          <w:left w:w="0" w:type="dxa"/>
          <w:bottom w:w="0" w:type="dxa"/>
          <w:right w:w="0" w:type="dxa"/>
        </w:tblCellMar>
      </w:tblPr>
      <w:tblGrid>
        <w:gridCol w:w="305"/>
        <w:gridCol w:w="9050"/>
      </w:tblGrid>
      <w:tr>
        <w:trPr/>
        <w:tc>
          <w:tcPr>
            <w:tcW w:w="305" w:type="dxa"/>
            <w:tcBorders/>
            <w:vAlign w:val="center"/>
          </w:tcPr>
          <w:p>
            <w:pPr>
              <w:pStyle w:val="TableContents"/>
              <w:bidi w:val="0"/>
              <w:spacing w:before="0" w:after="283"/>
              <w:jc w:val="left"/>
              <w:rPr/>
            </w:pPr>
            <w:bookmarkStart w:id="17" w:name="xdx_906_edei--PreCommencementIssuerTende"/>
            <w:bookmarkEnd w:id="17"/>
            <w:r>
              <w:rPr/>
              <w:t>☐ </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firstLine="72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6540" w:type="dxa"/>
        <w:jc w:val="left"/>
        <w:tblInd w:w="0" w:type="dxa"/>
        <w:tblLayout w:type="fixed"/>
        <w:tblCellMar>
          <w:top w:w="0" w:type="dxa"/>
          <w:left w:w="0" w:type="dxa"/>
          <w:bottom w:w="28" w:type="dxa"/>
          <w:right w:w="0" w:type="dxa"/>
        </w:tblCellMar>
      </w:tblPr>
      <w:tblGrid>
        <w:gridCol w:w="1535"/>
        <w:gridCol w:w="60"/>
        <w:gridCol w:w="1610"/>
        <w:gridCol w:w="60"/>
        <w:gridCol w:w="3275"/>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275" w:type="dxa"/>
            <w:tcBorders>
              <w:bottom w:val="single" w:sz="8"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1535" w:type="dxa"/>
            <w:tcBorders/>
            <w:tcMar>
              <w:bottom w:w="0" w:type="dxa"/>
            </w:tcMar>
            <w:vAlign w:val="center"/>
          </w:tcPr>
          <w:p>
            <w:pPr>
              <w:pStyle w:val="TableContents"/>
              <w:bidi w:val="0"/>
              <w:spacing w:before="0" w:after="283"/>
              <w:jc w:val="center"/>
              <w:rPr>
                <w:sz w:val="20"/>
              </w:rPr>
            </w:pPr>
            <w:bookmarkStart w:id="18" w:name="xdx_906_edei--Security12bTitle_c20260817"/>
            <w:bookmarkEnd w:id="18"/>
            <w:r>
              <w:rPr>
                <w:sz w:val="20"/>
              </w:rPr>
              <w:t>Common Shares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sz w:val="20"/>
              </w:rPr>
            </w:pPr>
            <w:bookmarkStart w:id="19" w:name="xdx_908_edei--TradingSymbol_c20260817__2"/>
            <w:bookmarkEnd w:id="19"/>
            <w:r>
              <w:rPr>
                <w:sz w:val="20"/>
              </w:rPr>
              <w:t>EDSA</w:t>
            </w:r>
          </w:p>
        </w:tc>
        <w:tc>
          <w:tcPr>
            <w:tcW w:w="60" w:type="dxa"/>
            <w:tcBorders/>
            <w:tcMar>
              <w:bottom w:w="0" w:type="dxa"/>
            </w:tcMar>
            <w:vAlign w:val="center"/>
          </w:tcPr>
          <w:p>
            <w:pPr>
              <w:pStyle w:val="TableContents"/>
              <w:bidi w:val="0"/>
              <w:spacing w:before="0" w:after="283"/>
              <w:jc w:val="center"/>
              <w:rPr/>
            </w:pPr>
            <w:r>
              <w:rPr/>
              <w:t> </w:t>
            </w:r>
          </w:p>
        </w:tc>
        <w:tc>
          <w:tcPr>
            <w:tcW w:w="3275" w:type="dxa"/>
            <w:tcBorders/>
            <w:tcMar>
              <w:bottom w:w="0" w:type="dxa"/>
            </w:tcMar>
            <w:vAlign w:val="center"/>
          </w:tcPr>
          <w:p>
            <w:pPr>
              <w:pStyle w:val="TableContents"/>
              <w:bidi w:val="0"/>
              <w:spacing w:before="0" w:after="283"/>
              <w:jc w:val="center"/>
              <w:rPr>
                <w:sz w:val="20"/>
              </w:rPr>
            </w:pPr>
            <w:bookmarkStart w:id="20" w:name="xdx_907_edei--SecurityExchangeName_c2026"/>
            <w:bookmarkEnd w:id="20"/>
            <w:r>
              <w:rPr>
                <w:sz w:val="20"/>
              </w:rPr>
              <w:t>The Nasdaq Stock Market LLC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1" w:name="xdx_901_edei--EntityEmergingGrowthCompan"/>
      <w:bookmarkEnd w:id="21"/>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1.01 Entry into a Material Definitive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August 19, 2026, Edesa Biotech, Inc. (the “Company”) entered into an underwriting agreement (the “Underwriting Agreement”) with Guggenheim Securities, LLC (“Guggenheim Securities”), as representative of the several underwriters listed in Schedule 1 thereto (the “Underwriters”), in connection with the issuance and sale, in an underwritten, registered offering (the “Offering”), of: (i) 3,870,500 shares (the “Offering Shares”) of the Company’s common shares, without par value (the “Common Shares”) with accompanying common share warrants (the “Common Share Warrants”) to purchase up to 3,870,500 Common Shares, at a combined offering price of $5.50 per share and accompanying Common Share Warrant; and (ii) pre-funded warrants (the “Pre-Funded Warrants” and together with the Common Share Warrants, the “Warrants”) to purchase up to an aggregate of 675,000 Common Shares with accompanying Common Share Warrants to purchase up to 675,000 Common Shares, at a combined offering price of $5.4999 per Pre-Funded Warrant and accompanying Common Share Warrant, which represents the combined offering price per Share (as defined below) and accompanying Common Share Warrant less the $0.0001 per share exercise price for each such Pre-Funded Warrant. In addition, pursuant to the Underwriting Agreement, the Company granted the Underwriters a 30-day option to purchase up to 681,825 additional Common Shares (the “Option Shares” and together with the Offering Shares, the “Shares”) and accompanying Common Share Warrants to purchase up to 681,825 Common Shares on the same terms as the Offering Shares and accompanying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expects to receive net proceeds of approximately $23.1 million from the Offering, after deducting underwriting discounts and commissions and estimated offering expenses payable by the Company. The Offering is expected to close on or about August 21, 2026, subject to customary closing conditions. The Company intends to use the net proceeds from the Offering for general corporate purposes, which may include working capital, capital expenditures and research and development and manufacturing expenses. The Underwriting Agreement contains customary representations, warranties and covenants of the Company, conditions to closing, indemnification obligations of the Company and the Underwriters, including for liabilities under the Securities Act of 1933, as amended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Pursuant to the terms of the Underwriting Agreement, the Company has agreed to certain restrictions on the issuance and sale of its Common Shares and securities convertible into Common Shares during the 90-day period following the date of the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certain exceptions, the Company’s executive officers and directors agreed not to sell or otherwise dispose of any Common Shares held by them for a period beginning on the date of execution of the applicable lock-up agreements by each such executive officer and director and ending 90 days after the date of the Prospectus Supplement (as defined herein) filed with the U.S. Securities and Exchange Commission (the “SEC”) in connection with the Offering pursuant to Rule 424(b) of the Securities Act, without first obtaining the written consent of Guggenheim Securities.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Common Share Warrants will each be exercisable for one Common Share at an exercise price of $7.50 per share. The Common Share Warrants will be exercisable at any time after their original issuance and may be exercised until the date that is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A holder of the Common Share Warrants may not exercise any portion of the Common Share Warrants to the extent that such holder would beneficially own more than 4.99% (or 9.99%, at the election of each holder prior to issuance) of the number of Common Shares outstanding immediately after giving effect to such exercise, as such percentage ownership is determined in accordance with the terms of the Common Share Warrants. However, upon at least 61 days’ prior notice from a holder to the Company, such holder may increase or decrease such beneficial ownership limitation, as applicable, up to 9.99% of the Common Shares outstanding immediately after giving effect to the exercise, as such percentage ownership is determined in accordance with the terms of the Common Share Warrants. The exercise price and the number of Common Shares issuable upon exercise of the Common Share Warrants are subject to appropriate adjustment in the event of certain share dividends, share splits, share combinations or other similar reclassifications affecting the Common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Pre-Funded Warrants will have an initial exercise price of $0.0001 per share and will be immediately exercisable upon issuance. The Pre-Funded Warrants do not have a termination date. A holder of the Pre-Funded Warrants may not exercise any portion of the Pre-Funded Warrants to the extent that such holder would beneficially own more than 4.99% (or 9.99%, at the election of each holder prior to issuance) of the number of Common Shares outstanding immediately after giving effect to such exercise, as such percentage ownership is determined in accordance with the terms of the Pre-Funded Warrants. However, upon at least 61 days’ prior notice from a holder to the Company, such holder may increase or decrease such beneficial ownership limitation, as applicable, up to 9.99% of the Common Shares outstanding immediately after giving effect to the exercise, as such percentage ownership is determined in accordance with the terms of the Pre-Funded Warrants. The exercise price and the number of Common Shares issuable upon exercise of the Pre-Funded Warrants are subject to appropriate adjustment in the event of certain share dividends, share splits, share combinations or other similar reclassifications affecting the Common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Offering is being made pursuant to (1) an effective Registration Statement on Form S-3 (File No. 333-288966), declared effective by the SEC on September 9, 2025, and (2) a related prospectus supplement dated August 19, 2026 (the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foregoing summaries of the Offering, the Underwriting Agreement, the Common Share Warrants, the Pre-Funded Warrants and the Shares do not purport to be complete and are qualified in their entirety by reference to the definitive transaction documents. Copies of the Underwriting Agreement, the form of Common Share Warrant and the form of Pre-Funded Warrant are attached hereto as Exhibits 1.1, 4.1 and 4.2, respectively, and are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copy of the Fasken Martineau DuMoulin LLP opinion relating to the legality of the issuance and sale of the Shares offered in the Offering and the Common Shares issuable upon exercise of the Warrants in the Offering is attached as Exhibit 5.1. A copy of the Lowenstein Sandler LLP opinion relating to the legality of the issuance and sale of the Warrants in the Offering is attached as Exhibit 5.2.</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8.01 Other Events.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August 19, 2026, the Company issued a press release announcing the launch of the Offering. A copy of the press release is attached as Exhibit 99.1 to this Current Report on Form 8-K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August 19, 2026, the Company issued a press release announcing the pricing of the Offering. A copy of the press release is attached as Exhibit 99.2 to this Current Report on Form 8-K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Current Report on Form 8-K contains forward-looking statements that involve estimates, assumptions, risks and uncertainties. Forward-looking statements include, but are not limited to, statements related to the amount of proceeds expected from the Offering, the intended use of proceeds from the Offering and the timing and certainty of completion of the Offering. The risks and uncertainties relating to the Company and the Offering include general market conditions, the proposed restructuring of the Company’s outstanding indebtedness, the Company’s ability to complete the Offering on favorable terms, or at all, as well as other risks detailed from time to time in the Company’s filings with the SEC, including in its Annual Report on Form 10-K for the year ended September 30, 2025 and the Prospectus Supplement.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Exhibits.</w:t>
      </w:r>
    </w:p>
    <w:p>
      <w:pPr>
        <w:pStyle w:val="TextBody"/>
        <w:bidi w:val="0"/>
        <w:spacing w:before="0" w:after="0"/>
        <w:ind w:left="0" w:right="0" w:hanging="0"/>
        <w:jc w:val="left"/>
        <w:rPr/>
      </w:pPr>
      <w:r>
        <w:rPr/>
        <w:t> </w:t>
      </w:r>
    </w:p>
    <w:tbl>
      <w:tblPr>
        <w:tblW w:w="10060" w:type="dxa"/>
        <w:jc w:val="left"/>
        <w:tblInd w:w="0" w:type="dxa"/>
        <w:tblLayout w:type="fixed"/>
        <w:tblCellMar>
          <w:top w:w="0" w:type="dxa"/>
          <w:left w:w="0" w:type="dxa"/>
          <w:bottom w:w="28" w:type="dxa"/>
          <w:right w:w="0" w:type="dxa"/>
        </w:tblCellMar>
      </w:tblPr>
      <w:tblGrid>
        <w:gridCol w:w="725"/>
        <w:gridCol w:w="60"/>
        <w:gridCol w:w="9275"/>
      </w:tblGrid>
      <w:tr>
        <w:trPr/>
        <w:tc>
          <w:tcPr>
            <w:tcW w:w="725" w:type="dxa"/>
            <w:tcBorders>
              <w:bottom w:val="single" w:sz="8" w:space="0" w:color="000000"/>
            </w:tcBorders>
            <w:shd w:fill="FFFFFF" w:val="clear"/>
            <w:vAlign w:val="center"/>
          </w:tcPr>
          <w:p>
            <w:pPr>
              <w:pStyle w:val="TableContents"/>
              <w:bidi w:val="0"/>
              <w:spacing w:before="0" w:after="0"/>
              <w:ind w:left="0" w:right="0" w:hanging="0"/>
              <w:jc w:val="center"/>
              <w:rPr>
                <w:b/>
                <w:sz w:val="20"/>
              </w:rPr>
            </w:pPr>
            <w:r>
              <w:rPr>
                <w:b/>
                <w:sz w:val="20"/>
              </w:rPr>
              <w:t>Exhibit</w:t>
            </w:r>
          </w:p>
          <w:p>
            <w:pPr>
              <w:pStyle w:val="TableContents"/>
              <w:bidi w:val="0"/>
              <w:spacing w:before="0" w:after="0"/>
              <w:ind w:left="0" w:right="0" w:hanging="0"/>
              <w:jc w:val="center"/>
              <w:rPr>
                <w:b/>
                <w:sz w:val="20"/>
              </w:rPr>
            </w:pPr>
            <w:r>
              <w:rPr>
                <w:b/>
                <w:sz w:val="20"/>
              </w:rP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bottom w:val="single" w:sz="8" w:space="0" w:color="000000"/>
            </w:tcBorders>
            <w:shd w:fill="FFFFFF" w:val="clear"/>
            <w:vAlign w:val="center"/>
          </w:tcPr>
          <w:p>
            <w:pPr>
              <w:pStyle w:val="TableContents"/>
              <w:bidi w:val="0"/>
              <w:spacing w:before="0" w:after="283"/>
              <w:jc w:val="center"/>
              <w:rPr>
                <w:b/>
                <w:sz w:val="20"/>
              </w:rPr>
            </w:pPr>
            <w:r>
              <w:rPr>
                <w:b/>
                <w:sz w:val="20"/>
              </w:rPr>
              <w:t>Description</w:t>
            </w:r>
          </w:p>
        </w:tc>
      </w:tr>
      <w:tr>
        <w:trPr/>
        <w:tc>
          <w:tcPr>
            <w:tcW w:w="725" w:type="dxa"/>
            <w:tcBorders/>
            <w:shd w:fill="FFFFFF" w:val="clear"/>
            <w:tcMar>
              <w:bottom w:w="0" w:type="dxa"/>
            </w:tcMar>
            <w:vAlign w:val="center"/>
          </w:tcPr>
          <w:p>
            <w:pPr>
              <w:pStyle w:val="TableContents"/>
              <w:bidi w:val="0"/>
              <w:spacing w:before="0" w:after="283"/>
              <w:jc w:val="center"/>
              <w:rPr/>
            </w:pPr>
            <w:hyperlink w:anchor="exh_11.htm">
              <w:r>
                <w:rPr>
                  <w:rStyle w:val="InternetLink"/>
                  <w:sz w:val="20"/>
                </w:rPr>
                <w:t>1.1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hyperlink w:anchor="exh_11.htm">
              <w:r>
                <w:rPr>
                  <w:rStyle w:val="InternetLink"/>
                  <w:sz w:val="20"/>
                </w:rPr>
                <w:t>Underwriting Agreement, dated August 19, 2026, by and between the Company and Guggenheim Securities, LLC.</w:t>
              </w:r>
            </w:hyperlink>
          </w:p>
        </w:tc>
      </w:tr>
      <w:tr>
        <w:trPr/>
        <w:tc>
          <w:tcPr>
            <w:tcW w:w="725" w:type="dxa"/>
            <w:tcBorders/>
            <w:shd w:fill="FFFFFF" w:val="clear"/>
            <w:tcMar>
              <w:bottom w:w="0" w:type="dxa"/>
            </w:tcMar>
            <w:vAlign w:val="center"/>
          </w:tcPr>
          <w:p>
            <w:pPr>
              <w:pStyle w:val="TableContents"/>
              <w:bidi w:val="0"/>
              <w:spacing w:before="0" w:after="283"/>
              <w:jc w:val="center"/>
              <w:rPr/>
            </w:pPr>
            <w:hyperlink w:anchor="exh_41.htm">
              <w:r>
                <w:rPr>
                  <w:rStyle w:val="InternetLink"/>
                  <w:sz w:val="20"/>
                </w:rPr>
                <w:t>4.1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hyperlink w:anchor="exh_41.htm">
              <w:r>
                <w:rPr>
                  <w:rStyle w:val="InternetLink"/>
                  <w:sz w:val="20"/>
                </w:rPr>
                <w:t>Form of Common Share Warrant.</w:t>
              </w:r>
            </w:hyperlink>
          </w:p>
        </w:tc>
      </w:tr>
      <w:tr>
        <w:trPr/>
        <w:tc>
          <w:tcPr>
            <w:tcW w:w="725" w:type="dxa"/>
            <w:tcBorders/>
            <w:shd w:fill="FFFFFF" w:val="clear"/>
            <w:tcMar>
              <w:bottom w:w="0" w:type="dxa"/>
            </w:tcMar>
            <w:vAlign w:val="center"/>
          </w:tcPr>
          <w:p>
            <w:pPr>
              <w:pStyle w:val="TableContents"/>
              <w:bidi w:val="0"/>
              <w:spacing w:before="0" w:after="283"/>
              <w:jc w:val="center"/>
              <w:rPr/>
            </w:pPr>
            <w:hyperlink w:anchor="exh_42.htm">
              <w:r>
                <w:rPr>
                  <w:rStyle w:val="InternetLink"/>
                </w:rPr>
                <w:t>4.2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hyperlink w:anchor="exh_42.htm">
              <w:r>
                <w:rPr>
                  <w:rStyle w:val="InternetLink"/>
                </w:rPr>
                <w:t>Form of Pre-Funded Warrant.</w:t>
              </w:r>
            </w:hyperlink>
          </w:p>
        </w:tc>
      </w:tr>
      <w:tr>
        <w:trPr/>
        <w:tc>
          <w:tcPr>
            <w:tcW w:w="725" w:type="dxa"/>
            <w:tcBorders/>
            <w:shd w:fill="FFFFFF" w:val="clear"/>
            <w:tcMar>
              <w:bottom w:w="0" w:type="dxa"/>
            </w:tcMar>
            <w:vAlign w:val="center"/>
          </w:tcPr>
          <w:p>
            <w:pPr>
              <w:pStyle w:val="TableContents"/>
              <w:bidi w:val="0"/>
              <w:spacing w:before="0" w:after="283"/>
              <w:jc w:val="center"/>
              <w:rPr/>
            </w:pPr>
            <w:hyperlink w:anchor="exh_51.htm">
              <w:r>
                <w:rPr>
                  <w:rStyle w:val="InternetLink"/>
                  <w:sz w:val="20"/>
                </w:rPr>
                <w:t>5.1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hyperlink w:anchor="exh_51.htm">
              <w:r>
                <w:rPr>
                  <w:rStyle w:val="InternetLink"/>
                  <w:sz w:val="20"/>
                </w:rPr>
                <w:t>Opinion of Fasken Martineau DuMoulin LLP.</w:t>
              </w:r>
            </w:hyperlink>
          </w:p>
        </w:tc>
      </w:tr>
      <w:tr>
        <w:trPr/>
        <w:tc>
          <w:tcPr>
            <w:tcW w:w="725" w:type="dxa"/>
            <w:tcBorders/>
            <w:shd w:fill="FFFFFF" w:val="clear"/>
            <w:tcMar>
              <w:bottom w:w="0" w:type="dxa"/>
            </w:tcMar>
            <w:vAlign w:val="center"/>
          </w:tcPr>
          <w:p>
            <w:pPr>
              <w:pStyle w:val="TableContents"/>
              <w:bidi w:val="0"/>
              <w:spacing w:before="0" w:after="283"/>
              <w:jc w:val="center"/>
              <w:rPr/>
            </w:pPr>
            <w:hyperlink w:anchor="exh_52.htm">
              <w:r>
                <w:rPr>
                  <w:rStyle w:val="InternetLink"/>
                  <w:sz w:val="20"/>
                </w:rPr>
                <w:t>5.2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hyperlink w:anchor="exh_52.htm">
              <w:r>
                <w:rPr>
                  <w:rStyle w:val="InternetLink"/>
                  <w:sz w:val="20"/>
                </w:rPr>
                <w:t>Opinion of Lowenstein Sandler LLP.</w:t>
              </w:r>
            </w:hyperlink>
          </w:p>
        </w:tc>
      </w:tr>
      <w:tr>
        <w:trPr/>
        <w:tc>
          <w:tcPr>
            <w:tcW w:w="725" w:type="dxa"/>
            <w:tcBorders/>
            <w:shd w:fill="FFFFFF" w:val="clear"/>
            <w:tcMar>
              <w:bottom w:w="0" w:type="dxa"/>
            </w:tcMar>
            <w:vAlign w:val="center"/>
          </w:tcPr>
          <w:p>
            <w:pPr>
              <w:pStyle w:val="TableContents"/>
              <w:bidi w:val="0"/>
              <w:spacing w:before="0" w:after="283"/>
              <w:jc w:val="center"/>
              <w:rPr>
                <w:sz w:val="20"/>
              </w:rPr>
            </w:pPr>
            <w:r>
              <w:rPr>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r>
              <w:rPr>
                <w:sz w:val="20"/>
              </w:rPr>
              <w:t xml:space="preserve">Consent of Fasken Martineau DuMoulin LLP (included in </w:t>
            </w:r>
            <w:hyperlink w:anchor="exh_51.htm">
              <w:r>
                <w:rPr>
                  <w:rStyle w:val="InternetLink"/>
                  <w:sz w:val="20"/>
                </w:rPr>
                <w:t>Exhibit 5.1</w:t>
              </w:r>
            </w:hyperlink>
            <w:r>
              <w:rPr>
                <w:sz w:val="20"/>
              </w:rPr>
              <w:t>).</w:t>
            </w:r>
          </w:p>
        </w:tc>
      </w:tr>
      <w:tr>
        <w:trPr/>
        <w:tc>
          <w:tcPr>
            <w:tcW w:w="725" w:type="dxa"/>
            <w:tcBorders/>
            <w:shd w:fill="FFFFFF" w:val="clear"/>
            <w:tcMar>
              <w:bottom w:w="0" w:type="dxa"/>
            </w:tcMar>
            <w:vAlign w:val="center"/>
          </w:tcPr>
          <w:p>
            <w:pPr>
              <w:pStyle w:val="TableContents"/>
              <w:bidi w:val="0"/>
              <w:spacing w:before="0" w:after="283"/>
              <w:jc w:val="center"/>
              <w:rPr>
                <w:sz w:val="20"/>
              </w:rPr>
            </w:pPr>
            <w:r>
              <w:rPr>
                <w:sz w:val="20"/>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r>
              <w:rPr>
                <w:sz w:val="20"/>
              </w:rPr>
              <w:t xml:space="preserve">Consent of Lowenstein Sandler LLP (included in </w:t>
            </w:r>
            <w:hyperlink w:anchor="exh_52.htm">
              <w:r>
                <w:rPr>
                  <w:rStyle w:val="InternetLink"/>
                  <w:sz w:val="20"/>
                </w:rPr>
                <w:t>Exhibit 5.2</w:t>
              </w:r>
            </w:hyperlink>
            <w:r>
              <w:rPr>
                <w:sz w:val="20"/>
              </w:rPr>
              <w:t>).</w:t>
            </w:r>
          </w:p>
        </w:tc>
      </w:tr>
      <w:tr>
        <w:trPr/>
        <w:tc>
          <w:tcPr>
            <w:tcW w:w="725" w:type="dxa"/>
            <w:tcBorders/>
            <w:shd w:fill="FFFFFF" w:val="clear"/>
            <w:tcMar>
              <w:bottom w:w="0" w:type="dxa"/>
            </w:tcMar>
            <w:vAlign w:val="center"/>
          </w:tcPr>
          <w:p>
            <w:pPr>
              <w:pStyle w:val="TableContents"/>
              <w:bidi w:val="0"/>
              <w:spacing w:before="0" w:after="283"/>
              <w:jc w:val="center"/>
              <w:rPr/>
            </w:pPr>
            <w:hyperlink w:anchor="exh_991.htm">
              <w:r>
                <w:rPr>
                  <w:rStyle w:val="InternetLink"/>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hyperlink w:anchor="exh_991.htm">
              <w:r>
                <w:rPr>
                  <w:rStyle w:val="InternetLink"/>
                  <w:sz w:val="20"/>
                </w:rPr>
                <w:t>Press release dated August 19, 2026.</w:t>
              </w:r>
            </w:hyperlink>
          </w:p>
        </w:tc>
      </w:tr>
      <w:tr>
        <w:trPr/>
        <w:tc>
          <w:tcPr>
            <w:tcW w:w="725" w:type="dxa"/>
            <w:tcBorders/>
            <w:shd w:fill="FFFFFF" w:val="clear"/>
            <w:tcMar>
              <w:bottom w:w="0" w:type="dxa"/>
            </w:tcMar>
            <w:vAlign w:val="center"/>
          </w:tcPr>
          <w:p>
            <w:pPr>
              <w:pStyle w:val="TableContents"/>
              <w:bidi w:val="0"/>
              <w:spacing w:before="0" w:after="283"/>
              <w:jc w:val="center"/>
              <w:rPr/>
            </w:pPr>
            <w:hyperlink w:anchor="exh_992.htm">
              <w:r>
                <w:rPr>
                  <w:rStyle w:val="InternetLink"/>
                  <w:sz w:val="20"/>
                </w:rPr>
                <w:t>99.2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pPr>
            <w:hyperlink w:anchor="exh_992.htm">
              <w:r>
                <w:rPr>
                  <w:rStyle w:val="InternetLink"/>
                  <w:sz w:val="20"/>
                </w:rPr>
                <w:t>Press release dated August 19, 2026.</w:t>
              </w:r>
            </w:hyperlink>
          </w:p>
        </w:tc>
      </w:tr>
      <w:tr>
        <w:trPr/>
        <w:tc>
          <w:tcPr>
            <w:tcW w:w="725" w:type="dxa"/>
            <w:tcBorders/>
            <w:shd w:fill="FFFFFF" w:val="clear"/>
            <w:tcMar>
              <w:bottom w:w="0" w:type="dxa"/>
            </w:tcMar>
            <w:vAlign w:val="center"/>
          </w:tcPr>
          <w:p>
            <w:pPr>
              <w:pStyle w:val="TableContents"/>
              <w:bidi w:val="0"/>
              <w:spacing w:before="0" w:after="283"/>
              <w:jc w:val="center"/>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4350" w:type="dxa"/>
        <w:jc w:val="left"/>
        <w:tblInd w:w="0" w:type="dxa"/>
        <w:tblLayout w:type="fixed"/>
        <w:tblCellMar>
          <w:top w:w="0" w:type="dxa"/>
          <w:left w:w="0" w:type="dxa"/>
          <w:bottom w:w="0" w:type="dxa"/>
          <w:right w:w="0" w:type="dxa"/>
        </w:tblCellMar>
      </w:tblPr>
      <w:tblGrid>
        <w:gridCol w:w="1865"/>
        <w:gridCol w:w="590"/>
        <w:gridCol w:w="1895"/>
      </w:tblGrid>
      <w:tr>
        <w:trPr/>
        <w:tc>
          <w:tcPr>
            <w:tcW w:w="186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sz w:val="20"/>
              </w:rPr>
            </w:pPr>
            <w:r>
              <w:rPr>
                <w:sz w:val="20"/>
              </w:rPr>
              <w:t>Edesa Biotech, Inc.</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20, 2026</w:t>
            </w:r>
          </w:p>
        </w:tc>
        <w:tc>
          <w:tcPr>
            <w:tcW w:w="590" w:type="dxa"/>
            <w:tcBorders/>
            <w:vAlign w:val="center"/>
          </w:tcPr>
          <w:p>
            <w:pPr>
              <w:pStyle w:val="TableContents"/>
              <w:bidi w:val="0"/>
              <w:spacing w:before="0" w:after="283"/>
              <w:jc w:val="left"/>
              <w:rPr>
                <w:sz w:val="20"/>
              </w:rPr>
            </w:pPr>
            <w:r>
              <w:rPr>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Peter J. Weiler</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895" w:type="dxa"/>
            <w:tcBorders/>
            <w:vAlign w:val="center"/>
          </w:tcPr>
          <w:p>
            <w:pPr>
              <w:pStyle w:val="TableContents"/>
              <w:bidi w:val="0"/>
              <w:spacing w:before="0" w:after="283"/>
              <w:jc w:val="left"/>
              <w:rPr>
                <w:sz w:val="20"/>
              </w:rPr>
            </w:pPr>
            <w:r>
              <w:rPr>
                <w:sz w:val="20"/>
              </w:rPr>
              <w:t>Peter J. Weiler</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b/>
        </w:rPr>
      </w:pPr>
      <w:bookmarkStart w:id="22" w:name="exh_11.htm"/>
      <w:bookmarkStart w:id="23" w:name="ksexh_11"/>
      <w:bookmarkEnd w:id="22"/>
      <w:bookmarkEnd w:id="23"/>
      <w:r>
        <w:rPr>
          <w:b/>
        </w:rPr>
        <w:t>Exhibit 1.1</w:t>
      </w:r>
      <w:r>
        <w:br w:type="page"/>
      </w:r>
    </w:p>
    <w:p>
      <w:pPr>
        <w:pStyle w:val="TextBody"/>
        <w:bidi w:val="0"/>
        <w:spacing w:before="0" w:after="283"/>
        <w:jc w:val="left"/>
        <w:rPr/>
      </w:pPr>
      <w:r>
        <w:rPr/>
        <w:t> </w:t>
      </w:r>
    </w:p>
    <w:p>
      <w:pPr>
        <w:pStyle w:val="TextBody"/>
        <w:bidi w:val="0"/>
        <w:spacing w:before="0" w:after="0"/>
        <w:ind w:left="0" w:right="0" w:hanging="0"/>
        <w:jc w:val="right"/>
        <w:rPr>
          <w:i/>
          <w:sz w:val="20"/>
        </w:rPr>
      </w:pPr>
      <w:r>
        <w:rPr>
          <w:i/>
          <w:sz w:val="20"/>
        </w:rPr>
        <w:t>Execution Version</w:t>
      </w:r>
    </w:p>
    <w:p>
      <w:pPr>
        <w:pStyle w:val="TextBody"/>
        <w:bidi w:val="0"/>
        <w:spacing w:before="0" w:after="0"/>
        <w:ind w:left="0" w:right="0" w:hanging="0"/>
        <w:jc w:val="left"/>
        <w:rPr/>
      </w:pPr>
      <w:r>
        <w:rPr/>
        <w:t> </w:t>
      </w:r>
    </w:p>
    <w:p>
      <w:pPr>
        <w:pStyle w:val="TextBody"/>
        <w:bidi w:val="0"/>
        <w:spacing w:before="0" w:after="0"/>
        <w:jc w:val="center"/>
        <w:rPr>
          <w:b/>
        </w:rPr>
      </w:pPr>
      <w:r>
        <w:rPr>
          <w:b/>
        </w:rPr>
        <w:t>EDESA BIOTECH, INC.</w:t>
      </w:r>
    </w:p>
    <w:p>
      <w:pPr>
        <w:pStyle w:val="TextBody"/>
        <w:bidi w:val="0"/>
        <w:spacing w:before="0" w:after="0"/>
        <w:jc w:val="center"/>
        <w:rPr/>
      </w:pPr>
      <w:r>
        <w:rPr/>
        <w:t> </w:t>
      </w:r>
    </w:p>
    <w:p>
      <w:pPr>
        <w:pStyle w:val="TextBody"/>
        <w:bidi w:val="0"/>
        <w:spacing w:before="0" w:after="0"/>
        <w:ind w:left="0" w:right="0" w:hanging="0"/>
        <w:jc w:val="center"/>
        <w:rPr>
          <w:sz w:val="20"/>
        </w:rPr>
      </w:pPr>
      <w:r>
        <w:rPr>
          <w:sz w:val="20"/>
        </w:rPr>
        <w:t>3,870,500 Common Shares,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Pre-Funded Warrants to Purchase up to 675,000 Common Shares,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and</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Warrants to Purchase up to 4,545,500 Common Shares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Underwriting Agreement</w:t>
      </w:r>
    </w:p>
    <w:p>
      <w:pPr>
        <w:pStyle w:val="TextBody"/>
        <w:bidi w:val="0"/>
        <w:spacing w:before="0" w:after="0"/>
        <w:ind w:left="0" w:right="0" w:hanging="0"/>
        <w:jc w:val="right"/>
        <w:rPr>
          <w:sz w:val="20"/>
        </w:rPr>
      </w:pPr>
      <w:r>
        <w:rPr>
          <w:sz w:val="20"/>
        </w:rPr>
        <w:t>August 19, 2026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Guggenheim Securities, LLC,</w:t>
      </w:r>
    </w:p>
    <w:p>
      <w:pPr>
        <w:pStyle w:val="TextBody"/>
        <w:bidi w:val="0"/>
        <w:spacing w:before="0" w:after="0"/>
        <w:ind w:left="0" w:right="0" w:firstLine="360"/>
        <w:jc w:val="both"/>
        <w:rPr>
          <w:sz w:val="20"/>
        </w:rPr>
      </w:pPr>
      <w:r>
        <w:rPr>
          <w:sz w:val="20"/>
        </w:rPr>
        <w:t xml:space="preserve">as Representative of the several Underwriters named in </w:t>
      </w:r>
      <w:r>
        <w:rPr>
          <w:sz w:val="20"/>
          <w:u w:val="single"/>
        </w:rPr>
        <w:t>Schedule 1</w:t>
      </w:r>
      <w:r>
        <w:rPr>
          <w:sz w:val="20"/>
        </w:rPr>
        <w:t xml:space="preserve"> hereto</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c/o</w:t>
        <w:tab/>
        <w:t>Guggenheim Securities, LLC</w:t>
      </w:r>
    </w:p>
    <w:p>
      <w:pPr>
        <w:pStyle w:val="TextBody"/>
        <w:bidi w:val="0"/>
        <w:spacing w:before="0" w:after="0"/>
        <w:ind w:left="0" w:right="0" w:firstLine="540"/>
        <w:jc w:val="both"/>
        <w:rPr>
          <w:sz w:val="20"/>
        </w:rPr>
      </w:pPr>
      <w:r>
        <w:rPr>
          <w:sz w:val="20"/>
        </w:rPr>
        <w:t>330 Madison Avenue</w:t>
      </w:r>
    </w:p>
    <w:p>
      <w:pPr>
        <w:pStyle w:val="TextBody"/>
        <w:bidi w:val="0"/>
        <w:spacing w:before="0" w:after="0"/>
        <w:ind w:left="0" w:right="0" w:firstLine="540"/>
        <w:jc w:val="both"/>
        <w:rPr>
          <w:sz w:val="20"/>
        </w:rPr>
      </w:pPr>
      <w:r>
        <w:rPr>
          <w:sz w:val="20"/>
        </w:rPr>
        <w:t>New York, NY 10017</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Ladies and Gentlemen:</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Edesa Biotech, Inc., a company organized under the laws of British Columbia, Canada (the “</w:t>
      </w:r>
      <w:r>
        <w:rPr>
          <w:b/>
          <w:sz w:val="20"/>
        </w:rPr>
        <w:t>Company</w:t>
      </w:r>
      <w:r>
        <w:rPr>
          <w:sz w:val="20"/>
        </w:rPr>
        <w:t xml:space="preserve">”), proposes to issue and sell to the several underwriters named in </w:t>
      </w:r>
      <w:r>
        <w:rPr>
          <w:sz w:val="20"/>
          <w:u w:val="single"/>
        </w:rPr>
        <w:t>Schedule 1</w:t>
      </w:r>
      <w:r>
        <w:rPr>
          <w:sz w:val="20"/>
        </w:rPr>
        <w:t xml:space="preserve"> (the “</w:t>
      </w:r>
      <w:r>
        <w:rPr>
          <w:b/>
          <w:sz w:val="20"/>
        </w:rPr>
        <w:t>Underwriters</w:t>
      </w:r>
      <w:r>
        <w:rPr>
          <w:sz w:val="20"/>
        </w:rPr>
        <w:t>”) an aggregate of (i) 3,870,500 common shares, without par value (“</w:t>
      </w:r>
      <w:r>
        <w:rPr>
          <w:b/>
          <w:sz w:val="20"/>
        </w:rPr>
        <w:t>Common Shares</w:t>
      </w:r>
      <w:r>
        <w:rPr>
          <w:sz w:val="20"/>
        </w:rPr>
        <w:t>”), of the Company (the “</w:t>
      </w:r>
      <w:r>
        <w:rPr>
          <w:b/>
          <w:sz w:val="20"/>
        </w:rPr>
        <w:t>Underwritten Shares</w:t>
      </w:r>
      <w:r>
        <w:rPr>
          <w:sz w:val="20"/>
        </w:rPr>
        <w:t xml:space="preserve">”), (ii) pre-funded warrants to purchase up to 675,000 Common Shares in the form set forth in </w:t>
      </w:r>
      <w:r>
        <w:rPr>
          <w:sz w:val="20"/>
          <w:u w:val="single"/>
        </w:rPr>
        <w:t>Exhibit A</w:t>
      </w:r>
      <w:r>
        <w:rPr>
          <w:sz w:val="20"/>
        </w:rPr>
        <w:t xml:space="preserve"> hereto (the “</w:t>
      </w:r>
      <w:r>
        <w:rPr>
          <w:b/>
          <w:sz w:val="20"/>
        </w:rPr>
        <w:t>Pre-Funded Warrants</w:t>
      </w:r>
      <w:r>
        <w:rPr>
          <w:sz w:val="20"/>
        </w:rPr>
        <w:t>”), (iii) warrants to purchase up to 4,545,500 Common Shares (the “</w:t>
      </w:r>
      <w:r>
        <w:rPr>
          <w:b/>
          <w:sz w:val="20"/>
        </w:rPr>
        <w:t>Underwritten Common Warrants</w:t>
      </w:r>
      <w:r>
        <w:rPr>
          <w:sz w:val="20"/>
        </w:rPr>
        <w:t>”), and (iv) at the option of the Underwriters, up to 681,825 additional Common Shares (the “</w:t>
      </w:r>
      <w:r>
        <w:rPr>
          <w:b/>
          <w:sz w:val="20"/>
        </w:rPr>
        <w:t>Option Shares</w:t>
      </w:r>
      <w:r>
        <w:rPr>
          <w:sz w:val="20"/>
        </w:rPr>
        <w:t>” and, collectively with the Underwritten Shares, the “</w:t>
      </w:r>
      <w:r>
        <w:rPr>
          <w:b/>
          <w:sz w:val="20"/>
        </w:rPr>
        <w:t>Shares</w:t>
      </w:r>
      <w:r>
        <w:rPr>
          <w:sz w:val="20"/>
        </w:rPr>
        <w:t>”) with accompanying warrants to purchase up to 681,825 Common Shares (the “</w:t>
      </w:r>
      <w:r>
        <w:rPr>
          <w:b/>
          <w:sz w:val="20"/>
        </w:rPr>
        <w:t>Option Common Warrants</w:t>
      </w:r>
      <w:r>
        <w:rPr>
          <w:sz w:val="20"/>
        </w:rPr>
        <w:t>” and, together with the Underwritten Common Warrants, the “</w:t>
      </w:r>
      <w:r>
        <w:rPr>
          <w:b/>
          <w:sz w:val="20"/>
        </w:rPr>
        <w:t>Common Warrants</w:t>
      </w:r>
      <w:r>
        <w:rPr>
          <w:sz w:val="20"/>
        </w:rPr>
        <w:t>” and, together with the Pre-Funded Warrants, the “</w:t>
      </w:r>
      <w:r>
        <w:rPr>
          <w:b/>
          <w:sz w:val="20"/>
        </w:rPr>
        <w:t>Warrants</w:t>
      </w:r>
      <w:r>
        <w:rPr>
          <w:sz w:val="20"/>
        </w:rPr>
        <w:t>”). Each Share or Pre-Funded Warrant is being sold together with one Common Warrant to purchase one Common Share at an exercise price of $7.50 per Common Share. The Shares and the Warrants are collectively referred to herein as the “</w:t>
      </w:r>
      <w:r>
        <w:rPr>
          <w:b/>
          <w:sz w:val="20"/>
        </w:rPr>
        <w:t>Securities</w:t>
      </w:r>
      <w:r>
        <w:rPr>
          <w:sz w:val="20"/>
        </w:rPr>
        <w:t>.” The Common Shares underlying the Warrants are herein referred to as the “</w:t>
      </w:r>
      <w:r>
        <w:rPr>
          <w:b/>
          <w:sz w:val="20"/>
        </w:rPr>
        <w:t>Warrant Shares</w:t>
      </w:r>
      <w:r>
        <w:rPr>
          <w:sz w:val="20"/>
        </w:rPr>
        <w:t>.” Guggenheim Securities, LLC (“</w:t>
      </w:r>
      <w:r>
        <w:rPr>
          <w:b/>
          <w:sz w:val="20"/>
        </w:rPr>
        <w:t>Guggenheim Securities</w:t>
      </w:r>
      <w:r>
        <w:rPr>
          <w:sz w:val="20"/>
        </w:rPr>
        <w:t>”) has agreed to act as representative of the several Underwriters (in such capacity, the “</w:t>
      </w:r>
      <w:r>
        <w:rPr>
          <w:b/>
          <w:sz w:val="20"/>
        </w:rPr>
        <w:t>Representative</w:t>
      </w:r>
      <w:r>
        <w:rPr>
          <w:sz w:val="20"/>
        </w:rPr>
        <w:t xml:space="preserve">”) in connection with the public offering and sale of the Securities. To the extent there are no additional underwriters listed on </w:t>
      </w:r>
      <w:r>
        <w:rPr>
          <w:sz w:val="20"/>
          <w:u w:val="single"/>
        </w:rPr>
        <w:t>Schedule 1</w:t>
      </w:r>
      <w:r>
        <w:rPr>
          <w:sz w:val="20"/>
        </w:rPr>
        <w:t>, the term “Representative” as used herein shall mean you, as Underwriter, and the term “Underwriters” shall mean either the singular or the plural, as the context requires.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Company hereby confirms its agreement with the several Underwriters concerning the purchase and sale of the Securities, as follows: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1.                   </w:t>
      </w:r>
      <w:r>
        <w:rPr>
          <w:sz w:val="20"/>
          <w:u w:val="single"/>
        </w:rPr>
        <w:t>Registration Statement</w:t>
      </w:r>
      <w:r>
        <w:rPr>
          <w:sz w:val="20"/>
        </w:rPr>
        <w:t>. The Company has prepared and filed with the Securities and Exchange Commission (the “</w:t>
      </w:r>
      <w:r>
        <w:rPr>
          <w:b/>
          <w:sz w:val="20"/>
        </w:rPr>
        <w:t>Commission</w:t>
      </w:r>
      <w:r>
        <w:rPr>
          <w:sz w:val="20"/>
        </w:rPr>
        <w:t>”) under the Securities Act of 1933, as amended, and the rules and regulations of the Commission thereunder (collectively, the “</w:t>
      </w:r>
      <w:r>
        <w:rPr>
          <w:b/>
          <w:sz w:val="20"/>
        </w:rPr>
        <w:t>Securities Act</w:t>
      </w:r>
      <w:r>
        <w:rPr>
          <w:sz w:val="20"/>
        </w:rPr>
        <w:t>”), a registration statement on Form S-3 (File No. 333-288966), including a prospectus (the “</w:t>
      </w:r>
      <w:r>
        <w:rPr>
          <w:b/>
          <w:sz w:val="20"/>
        </w:rPr>
        <w:t>Base Prospectus</w:t>
      </w:r>
      <w:r>
        <w:rPr>
          <w:sz w:val="20"/>
        </w:rPr>
        <w:t>”), relating to the Securities, which shelf registration statement has been declared effective by the Commission. Such registration statement, as amended at the time it became effective, including the exhibits and any schedules thereto at such time, the documents incorporated or deemed to be incorporated by reference therein at such time pursuant to Item 12 of Form S-3 under the Securities Act and the documents otherwise deemed to be a part thereof as of such time pursuant to Rule 430B under the Securities Act (“</w:t>
      </w:r>
      <w:r>
        <w:rPr>
          <w:b/>
          <w:sz w:val="20"/>
        </w:rPr>
        <w:t>Rule 430B</w:t>
      </w:r>
      <w:r>
        <w:rPr>
          <w:sz w:val="20"/>
        </w:rPr>
        <w:t>”), is referred to herein as the “</w:t>
      </w:r>
      <w:r>
        <w:rPr>
          <w:b/>
          <w:sz w:val="20"/>
        </w:rPr>
        <w:t>Registration Statement</w:t>
      </w:r>
      <w:r>
        <w:rPr>
          <w:sz w:val="20"/>
        </w:rPr>
        <w:t xml:space="preserve">;” </w:t>
      </w:r>
      <w:r>
        <w:rPr>
          <w:sz w:val="20"/>
          <w:u w:val="single"/>
        </w:rPr>
        <w:t>provided</w:t>
      </w:r>
      <w:r>
        <w:rPr>
          <w:sz w:val="20"/>
        </w:rPr>
        <w:t xml:space="preserve">, </w:t>
      </w:r>
      <w:r>
        <w:rPr>
          <w:sz w:val="20"/>
          <w:u w:val="single"/>
        </w:rPr>
        <w:t>however</w:t>
      </w:r>
      <w:r>
        <w:rPr>
          <w:sz w:val="20"/>
        </w:rPr>
        <w:t>,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to be incorporated by reference therein at such time pursuant to Item 12 of Form S-3 under the Securities Act and the documents otherwise deemed to be a part thereof as of such time pursuant to Rule 430B.</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Any registration statement filed pursuant to Rule 462(b) of the Securities Act is herein called the “</w:t>
      </w:r>
      <w:r>
        <w:rPr>
          <w:b/>
          <w:sz w:val="20"/>
        </w:rPr>
        <w:t>Rule 462(b) Registration Statement</w:t>
      </w:r>
      <w:r>
        <w:rPr>
          <w:sz w:val="20"/>
        </w:rPr>
        <w:t>” and, after such filing, the term “Registration Statement” shall include the Rule 462(b) Registration Statement. Each preliminary prospectus supplement used in connection with the public offering of the Securities, if any, including the Base Prospectus and the documents incorporated or deemed to be incorporated by reference therein pursuant to Item 12 of Form S-3 under the Securities Act, are collectively referred to herein as a “</w:t>
      </w:r>
      <w:r>
        <w:rPr>
          <w:b/>
          <w:sz w:val="20"/>
        </w:rPr>
        <w:t>preliminary prospectus</w:t>
      </w:r>
      <w:r>
        <w:rPr>
          <w:sz w:val="20"/>
        </w:rPr>
        <w:t>.” Promptly after execution and delivery of this Agreement, the Company will prepare and file a final prospectus supplement relating to the Securities in accordance with the provisions of Rule 424(b) of the Securities Act (“</w:t>
      </w:r>
      <w:r>
        <w:rPr>
          <w:b/>
          <w:sz w:val="20"/>
        </w:rPr>
        <w:t>Rule 424(b)</w:t>
      </w:r>
      <w:r>
        <w:rPr>
          <w:sz w:val="20"/>
        </w:rPr>
        <w:t>”). The final prospectus supplement, in the form first furnished or made available to the Underwriters for use in connection with the public offering of the Securities, including the Base Prospectus and the documents incorporated or deemed to be incorporated by reference therein pursuant to Item 12 of Form S-3 under the Securities Act, are collectively referred to herein as the “</w:t>
      </w:r>
      <w:r>
        <w:rPr>
          <w:b/>
          <w:sz w:val="20"/>
        </w:rPr>
        <w:t>Prospectus</w:t>
      </w:r>
      <w:r>
        <w:rPr>
          <w:sz w:val="20"/>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b/>
          <w:sz w:val="20"/>
        </w:rPr>
        <w:t>EDGAR</w:t>
      </w:r>
      <w:r>
        <w:rPr>
          <w:sz w:val="20"/>
        </w:rPr>
        <w:t>”). Capitalized terms used but not defined herein shall have the meanings given to such terms in the Registration Statement and the Prospectus.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b/>
          <w:sz w:val="20"/>
        </w:rPr>
        <w:t>Applicable Time</w:t>
      </w:r>
      <w:r>
        <w:rPr>
          <w:sz w:val="20"/>
        </w:rPr>
        <w:t>” means 8:00 P.M., New York City time, on August 19, 2026.</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b/>
          <w:sz w:val="20"/>
        </w:rPr>
        <w:t>Pricing Disclosure Package</w:t>
      </w:r>
      <w:r>
        <w:rPr>
          <w:sz w:val="20"/>
        </w:rPr>
        <w:t>” means the preliminary prospectus, as amended or supplemented immediately prior to the Applicable Time, together with the information included in Annex A(b) hereto and each Issuer Free Writing Prospectus (as defined below) issued at or prior to the Applicable Time, each “free-writing prospectus” (as defined pursuant to Rule 405 under the Securities Act) issued at or prior to the Applicable Time and listed on Annex A(a) hereto and the Base Prospectus, all considered together.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b/>
          <w:sz w:val="20"/>
        </w:rPr>
        <w:t>Exchange Act</w:t>
      </w:r>
      <w:r>
        <w:rPr>
          <w:sz w:val="20"/>
        </w:rPr>
        <w:t>”), incorporated or deemed to be incorporated by reference in the Registration Statement, such preliminary prospectus or the Prospectus, as the case may be, at or after the execution and delivery of this Agreement.</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2.                   </w:t>
      </w:r>
      <w:r>
        <w:rPr>
          <w:sz w:val="20"/>
          <w:u w:val="single"/>
        </w:rPr>
        <w:t>Purchase of the Securities by the Underwriters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(a)                The Company agrees to issue and sell the Underwritten Shares, the Pre-Funded Warrants and the Underwritten Common Warrants to the several Underwriters as provided in this underwriting agreement (this “</w:t>
      </w:r>
      <w:r>
        <w:rPr>
          <w:b/>
          <w:sz w:val="20"/>
        </w:rPr>
        <w:t>Agreement</w:t>
      </w:r>
      <w:r>
        <w:rPr>
          <w:sz w:val="20"/>
        </w:rPr>
        <w:t>”). On the basis of the representations, warranties and agreements set forth herein and subject to the conditions set forth herein, the Underwriters agree, severally and not jointly, to purchase at a combined purchase price for each (i) Underwritten Share and accompanying Underwritten Common Warrant of $5.17 (the “</w:t>
      </w:r>
      <w:r>
        <w:rPr>
          <w:b/>
          <w:sz w:val="20"/>
        </w:rPr>
        <w:t>Per Share Purchase Price</w:t>
      </w:r>
      <w:r>
        <w:rPr>
          <w:sz w:val="20"/>
        </w:rPr>
        <w:t>”) and (ii) Pre-Funded Warrant and accompanying Underwritten Common Warrant of $5.1699 (the “</w:t>
      </w:r>
      <w:r>
        <w:rPr>
          <w:b/>
          <w:sz w:val="20"/>
        </w:rPr>
        <w:t>Per Pre-Funded Warrant Purchase Price</w:t>
      </w:r>
      <w:r>
        <w:rPr>
          <w:sz w:val="20"/>
        </w:rPr>
        <w:t xml:space="preserve">”), from the Company the respective number of Securities set forth opposite their names in </w:t>
      </w:r>
      <w:r>
        <w:rPr>
          <w:sz w:val="20"/>
          <w:u w:val="single"/>
        </w:rPr>
        <w:t>Schedule 1</w:t>
      </w:r>
      <w:r>
        <w:rPr>
          <w:sz w:val="20"/>
        </w:rPr>
        <w:t xml:space="preserve"> 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In addition, the Company agrees to issue and sell the Option Shares and accompanying Option Common Warrants to the several Underwriters as provided in this Agreement, and the Underwriters, severally and not jointly, on the basis of the representations, warranties and agreements set forth herein and subject to the conditions set forth herein, shall have the option to purchase from the Company the Option Shares and accompanying Option Common Warrants at the Per Share Purchase Price, less an amount per share equal to any dividends or distributions declared by the Company and payable on the Underwritten Shares and the Underwritten Common Warrants but not payable on the Option Shares and the accompanying Option Common Warrants.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The option to purchase Option Shares and accompanying Option Common Warrants may be exercised at any time in whole, or from time to time in part, on or before the 30th day following the date of the Prospectus, by written notice from the Representative to the Company. Such notice shall set forth the aggregate number of Option Shares and accompanying Option Common Warrants as to which the option is being exercised and the date and time when the Option Shares and accompanying Option Common Warrants are to be delivered and paid for, which may be the same date and time as the Closing Date (as hereinafter defined) but shall not be earlier than the Closing Date nor later than the 10th full business day (as hereinafter defined) after the date of such notice (unless such time and date are postponed in accordance with the provisions of Section 11 hereof). Any such notice shall be given at least two business days prior to the date and time of delivery specified therein. If any Option Shares and accompanying Option Common Warrants are to be purchased, each Underwriter agrees, severally and not jointly, to purchase the number of Option Shares and accompanying Option Common Warrants (subject to such adjustments to eliminate fractional shares or warrants as the Representative may determine) that bears the same proportion to the total number of Option Shares and accompanying Option Common Warrants to be purchased as the number of Underwritten Shares and accompanying Underwritten Common Warrants set forth in </w:t>
      </w:r>
      <w:r>
        <w:rPr>
          <w:sz w:val="20"/>
          <w:u w:val="single"/>
        </w:rPr>
        <w:t>Schedule 1</w:t>
      </w:r>
      <w:r>
        <w:rPr>
          <w:sz w:val="20"/>
        </w:rPr>
        <w:t xml:space="preserve"> opposite the name of such Underwriter bears to the total number of Underwritten Shares and accompanying Underwritten Common Warrants.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(b)                The Company understands that the Underwriters intend to make a public offering of the Securities, and initially to offer the Securities on the terms set forth in the Pricing Disclosure Package. The Company acknowledges and agrees that the Underwriters may offer and sell Securities to or through any of their respective affiliates.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Payment for the Securities shall be made by wire transfer in immediately available funds to the account specified by the Company to the Representative and, in the case of the Underwritten Shares, Pre-Funded Warrants and the Underwritten Common Warrants, at the offices of Mintz, Levin, Cohn, Ferris, Glovsky and Popeo, P.C., counsel for the Underwriters at 10:00 A.M., New York City time, on August 21, 2026, or at such other time or place on the same or such other date, not later than the fifth business day thereafter, as the Representative and the Company may agree upon in writing or, in the case of the Option Shares and accompanying Option Common Warrants, on the date and at the time and place specified by the Representative in the written notice of its election to purchase such Option Shares and accompanying Option Common Warrants. The time and date of such payment for the Securities is referred to herein as the “</w:t>
      </w:r>
      <w:r>
        <w:rPr>
          <w:b/>
          <w:sz w:val="20"/>
        </w:rPr>
        <w:t>Closing Date</w:t>
      </w:r>
      <w:r>
        <w:rPr>
          <w:sz w:val="20"/>
        </w:rPr>
        <w:t>,” and the time and date for such payment for the Option Shares and accompanying Option Common Warrants, if other than the Closing Date, is herein referred to as the “</w:t>
      </w:r>
      <w:r>
        <w:rPr>
          <w:b/>
          <w:sz w:val="20"/>
        </w:rPr>
        <w:t>Additional Closing Date</w:t>
      </w:r>
      <w:r>
        <w:rPr>
          <w:sz w:val="20"/>
        </w:rPr>
        <w:t>.”</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Notwithstanding the foregoing, the Company and the Representative shall instruct purchasers of the Pre-Funded Warrants and accompanying Underwritten Common Warrants in the offering to make payment for the Pre-Funded Warrants and accompanying Underwritten Common Warrants on the Closing Date to the Company by wire transfer in immediately available funds to the account specified by the Company at the “Combined Public Offering Price per Pre-Funded Warrant and Accompanying Underwritten Common Warrant” set forth in Annex A(b) hereto, in lieu of payment by the Underwriters for such Pre-Funded Warrants and accompanying Underwritten Common Warrants, and the Company shall deliver such Pre-Funded Warrants and accompanying Underwritten Common Warrants to such purchasers on the Closing Date in definitive form against such payment, in lieu of the Company’s obligation to deliver such Pre-Funded Warrants and accompanying Underwritten Common Warrants to the Underwriters; </w:t>
      </w:r>
      <w:r>
        <w:rPr>
          <w:sz w:val="20"/>
          <w:u w:val="single"/>
        </w:rPr>
        <w:t>provided</w:t>
      </w:r>
      <w:r>
        <w:rPr>
          <w:sz w:val="20"/>
        </w:rPr>
        <w:t xml:space="preserve"> that, the Representative shall withhold $0.33 per Pre-Funded Warrant and accompanying Underwritten Common Warrant with respect to such Pre-Funded Warrants and accompanying Underwritten Common Warrants as an offset against the payment owed by the Underwriters to the Company with respect to the Securities hereunder.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In the event that any purchaser of the Pre-Funded Warrants and accompanying Underwritten Common Warrants in the offering fails to make payment to the Company for all or part of the Pre-Funded Warrants and accompanying Underwritten Common Warrants (the “</w:t>
      </w:r>
      <w:r>
        <w:rPr>
          <w:b/>
          <w:sz w:val="20"/>
        </w:rPr>
        <w:t>Failed Warrants</w:t>
      </w:r>
      <w:r>
        <w:rPr>
          <w:sz w:val="20"/>
        </w:rPr>
        <w:t>”) on the Closing Date, as the case may be, the Underwriters may elect, by written notice to the Company and payment of the purchase price by wire transfer in immediately available funds to the account specified by the Company at the location and time designated in this Section 2(b) for the Closing Date or the Additional Closing Date, as the case may be, to receive Common Shares and accompanying Common Warrants at the applicable purchase price in lieu of the Failed Warrants that were otherwise to have been delivered to the purchasers thereof under this Agreement.</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(c)                Payment for the Securities to be purchased on the Closing Date or the Additional Closing Date, as the case may be, shall be made against delivery to the Representative for the accounts of the several Underwriters of the Securities to be purchased on such date with any transfer taxes payable in connection with the sale of such Securities duly paid by the Company. Delivery of the Securities shall be made through the facilities of The Depository Trust Company unless the Representative shall otherwise instruct. The Warrants will be made available for inspection by the Representative on the business day prior to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(d)                The Company acknowledges and agrees that each Underwriter is acting solely in the capacity of an arm’s length contractual counterparty to the Company with respect to the public offering of Securities contemplated hereby (including in connection with determining the terms of the public offering) and not as a financial advisor or a fiduciary to, or an agent of, the Company or any other person. The Company further acknowledges and agrees that (a) the purchase and sale of the Securities pursuant to this Agreement, including the determination of the offering price of the Securities, and any related discounts and commissions, does not constitute a recommendation, investment advice, or solicitation of any actions by any Underwriter, (b) no Underwriter has assumed and none will assume an advisory or fiduciary responsibility in favor of the Company with respect to the public offering of the Securities or the process leading thereto (irrespective of whether any Underwriter has advised or is currently advising the Company on other matters) and no Underwriter has any obligation to the Company with respect to the public offering of the Securities except the obligations expressly set forth in this Agreement, (c) the Underwriters and their affiliates may be engaged in a broad range of transactions that involve interests that differ from those of the Company, (d) the Underwriters have not provided any legal, accounting, regulatory, investment or tax advice with respect to the public offering of the Securities and the Company has consulted its own respective legal, accounting, financial, regulatory and tax advisors to the extent it deemed appropriate and (e) none of the activities of the Underwriters in connection with the transactions contemplated herein constitutes a recommendation, investment advice or solicitation of any action by any Underwriter with respect to any entity or natural person. Any review by the Underwriters of the Company, the transactions contemplated hereby or other matters relating to such transactions will be performed solely for the benefit of the Underwriters and shall not be on behalf of the Company.</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3.                   </w:t>
      </w:r>
      <w:r>
        <w:rPr>
          <w:sz w:val="20"/>
          <w:u w:val="single"/>
        </w:rPr>
        <w:t>Representations and Warranties of the Company</w:t>
      </w:r>
      <w:r>
        <w:rPr>
          <w:sz w:val="20"/>
        </w:rPr>
        <w:t>. The Company represents and warrants to each Underwriter that: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i/>
          <w:sz w:val="20"/>
        </w:rPr>
        <w:t>Preliminary Prospectus.</w:t>
      </w:r>
      <w:r>
        <w:rPr>
          <w:sz w:val="20"/>
        </w:rPr>
        <w:t xml:space="preserve"> No order preventing or suspending the use of any preliminary prospectus has been issued by the Commission, and each preliminary prospectus included in the Pricing Disclosure Package, if any, at the time of filing thereof, complied in all material respects with the Securities Act, and no preliminary prospectus, if any, at the time of filing thereof, contained any untrue statement of a material fact or omitted to state a material fact necessary in order to make the statements therein, in the light of the circumstances under which they were made, not misleading; </w:t>
      </w:r>
      <w:r>
        <w:rPr>
          <w:sz w:val="20"/>
          <w:u w:val="single"/>
        </w:rPr>
        <w:t>provided</w:t>
      </w:r>
      <w:r>
        <w:rPr>
          <w:sz w:val="20"/>
        </w:rPr>
        <w:t xml:space="preserve"> that the Company makes no representation or warranty with respect to any statements or omissions made in reliance upon and in conformity with information relating to any Underwriter furnished to the Company in writing by the Representative expressly for use in any preliminary prospectus, it being understood and agreed that the only such information furnished by the Representative consists of the information described as such in Section 7(b) hereof.</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                </w:t>
      </w:r>
      <w:r>
        <w:rPr>
          <w:i/>
          <w:sz w:val="20"/>
        </w:rPr>
        <w:t>Pricing Disclosure Package</w:t>
      </w:r>
      <w:r>
        <w:rPr>
          <w:sz w:val="20"/>
        </w:rPr>
        <w:t xml:space="preserve">. The Pricing Disclosure Package as of the Applicable Time did not, and as of the Closing Date and any Additional Closing Date will not, contain any untrue statement of a material fact or omit to state a material fact necessary in order to make the statements therein, in the light of the circumstances under which they were made, not misleading; </w:t>
      </w:r>
      <w:r>
        <w:rPr>
          <w:sz w:val="20"/>
          <w:u w:val="single"/>
        </w:rPr>
        <w:t>provided</w:t>
      </w:r>
      <w:r>
        <w:rPr>
          <w:sz w:val="20"/>
        </w:rPr>
        <w:t xml:space="preserve"> that the Company makes no representation or warranty with respect to any statements or omissions made in reliance upon and in conformity with information relating to any Underwriter furnished to the Company in writing by the Representative expressly for use in such Pricing Disclosure Package, it being understood and agreed that the only such information furnished by the Representative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i/>
          <w:sz w:val="20"/>
        </w:rPr>
        <w:t xml:space="preserve">Issuer Free Writing Prospectus. </w:t>
      </w:r>
      <w:r>
        <w:rPr>
          <w:sz w:val="20"/>
        </w:rPr>
        <w:t>Other than the Registration Statement, the preliminary prospectus, if any,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 (i) below) an “</w:t>
      </w:r>
      <w:r>
        <w:rPr>
          <w:b/>
          <w:sz w:val="20"/>
        </w:rPr>
        <w:t>Issuer Free Writing Prospectus</w:t>
      </w:r>
      <w:r>
        <w:rPr>
          <w:sz w:val="20"/>
        </w:rPr>
        <w:t xml:space="preserve">”) other than (i) any document not constituting a prospectus pursuant to Section 2(a)(10)(a) of the Securities Act or Rule 134 under the Securities Act or (ii) the documents listed on Annex A(a) hereto, each electronic road show and any other written communications approved in writing in advance by the Representative.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Prospectus, including any document incorporated by reference therein and when taken together with any preliminary prospectus accompanying, or delivered prior to delivery of, such Issuer Free Writing Prospectus, did not, and as of the Closing Date and any Additional Closing Date will not, contain any untrue statement of a material fact or omit to state a material fact necessary in order to make the statements therein, in the light of the circumstances under which they were made, not misleading; </w:t>
      </w:r>
      <w:r>
        <w:rPr>
          <w:sz w:val="20"/>
          <w:u w:val="single"/>
        </w:rPr>
        <w:t>provided</w:t>
      </w:r>
      <w:r>
        <w:rPr>
          <w:sz w:val="20"/>
        </w:rPr>
        <w:t xml:space="preserve"> that the Company makes no representation or warranty with respect to any statements or omissions made in each such Issuer Free Writing Prospectus or any preliminary prospectus in reliance upon and in conformity with information relating to any Underwriter furnished to the Company in writing by the Representative expressly for use in such Issuer Free Writing Prospectus or any preliminary prospectus, it being understood and agreed that the only such information furnished by the Representative consists of the information described as such in Section 7(b) hereof.</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(d)                </w:t>
      </w:r>
      <w:r>
        <w:rPr>
          <w:i/>
          <w:sz w:val="20"/>
        </w:rPr>
        <w:t>Registration Statement and Prospectus.</w:t>
      </w:r>
      <w:r>
        <w:rPr>
          <w:sz w:val="20"/>
        </w:rPr>
        <w:t xml:space="preserve"> The Company meets the requirements for use of Form S-3 under the Securities Act. The Registration Statement and any post-effective amendment thereto has been declared effective by the Commission. No order suspending the effectiveness of the Registration Statement has been issued by the Commission, and no proceeding for that purpose or pursuant to Section 8A of the Securities Act against the Company or related to the public offering of the Securities has been initiated or, to the knowledge of the Company, threatened by the Commission; as of the applicable effective date of the Registration Statement and any post-effective amendment thereto, each deemed effective date with respect to the Underwriters pursuant to Rule 430B(f)(2) under the Securities Act, at the Applicable Time, complied and will comply in all material respects with the requirements of the Securities Act. Each preliminary prospectus, if any, the Prospectus and any amendment or supplement thereto, at the time each was filed with the Commission, and, in each case, at the Applicable Time, and the Closing Date and any Additional Closing Date complied and will comply in all material respects with the requirements of the Securities Act.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The Registration Statement and any post-effective amendment did not and will not contain any untrue statement of a material fact or omit to state a material fact required to be stated therein or necessary in order to make the statements therein not misleading; and as of the date of each preliminary prospectus, if any, and any amendment or supplement thereto and as of the Closing Date and any Additional Closing Date each preliminary prospectus, if any, will not contain any untrue statement of a material fact or omit to state a material fact necessary in order to make the statements therein, in the light of the circumstances under which they were made, not misleading; </w:t>
      </w:r>
      <w:r>
        <w:rPr>
          <w:sz w:val="20"/>
          <w:u w:val="single"/>
        </w:rPr>
        <w:t>provided</w:t>
      </w:r>
      <w:r>
        <w:rPr>
          <w:sz w:val="20"/>
        </w:rPr>
        <w:t xml:space="preserve"> that the Company makes no representation and warranty with respect to any statements or omissions made in reliance upon and in conformity with information relating to any Underwriter furnished to the Company in writing by the Representative expressly for use in the Registration Statement and the Prospectus and any amendment or supplement thereto, it being understood and agreed that the only such information furnished by the Representative consists of the information described as such in Section 7(b) hereof.</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The documents incorporated or deemed to be incorporated by reference in the Registration Statement and the Prospectus, when they became effective or at the time they were filed or hereafter are filed with the Commission, complied and will comply in all material respects with the requirements of the Exchange Act. The documents incorporated or deemed to be incorporated by reference in the Registration Statement, the Pricing Disclosure Package and the Prospectus, at the time the Registration Statement became effective or when such documents incorporated by reference were filed with the Commission, as the case may be, when read together with the other information in the Registration Statement, the Pricing Disclosure Package or the Prospectus, as the case may be, did not and will not include an untrue statement of a material fact or omit to state a material fact required to be stated therein or necessary to make the statements therein, in the light of the circumstances under which they were made with respect to the Pricing Disclosure Package or Prospectus, not misleading.</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(e)                </w:t>
      </w:r>
      <w:r>
        <w:rPr>
          <w:i/>
          <w:sz w:val="20"/>
        </w:rPr>
        <w:t>Financial Statements.</w:t>
      </w:r>
      <w:r>
        <w:rPr>
          <w:sz w:val="20"/>
        </w:rPr>
        <w:t xml:space="preserve"> The financial statements (including the related notes thereto) of the Company and its subsidiaries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consolidated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in the United States (“</w:t>
      </w:r>
      <w:r>
        <w:rPr>
          <w:b/>
          <w:sz w:val="20"/>
        </w:rPr>
        <w:t>GAAP</w:t>
      </w:r>
      <w:r>
        <w:rPr>
          <w:sz w:val="20"/>
        </w:rPr>
        <w:t>”)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subsidiaries and presents fairly in all material respects the information shown thereby.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(f)                 </w:t>
      </w:r>
      <w:r>
        <w:rPr>
          <w:i/>
          <w:sz w:val="20"/>
        </w:rPr>
        <w:t>No Material Adverse Change.</w:t>
      </w:r>
      <w:r>
        <w:rPr>
          <w:sz w:val="20"/>
        </w:rPr>
        <w:t xml:space="preserve"> Since the date of the most recent financial statements of the Company included in the Registration Statement, the Pricing Disclosure Package and the Prospectus, (i) there has not been any material change in the share capital (other than the issuance of Common Shares upon exercise of share options and warrants, the vesting or settlement of restricted share units (whether outstanding as of the date of such financial statements or granted thereafter under existing equity incentive plans) or the conversion of preferred shares described as outstanding in, and the grant of options and awards under existing equity incentive plans described in, the Registration Statement, the Pricing Disclosure Package and the Prospectus), short-term debt or long-term debt of the Company or its subsidiaries, or any dividend or distribution of any kind declared, set aside for payment, paid or made by the Company on any class of share capital, or any material adverse change, or any development involving a prospective material adverse change, in or affecting the business, properties, management, financial position, shareholders’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(g)                </w:t>
      </w:r>
      <w:r>
        <w:rPr>
          <w:i/>
          <w:sz w:val="20"/>
        </w:rPr>
        <w:t>Organization and Good Standing.</w:t>
      </w:r>
      <w:r>
        <w:rPr>
          <w:sz w:val="20"/>
        </w:rPr>
        <w:t xml:space="preserve"> 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reasonably be expected to have a material adverse effect on the business, properties, management, financial position, shareholders’ equity, results of operations or prospects of the Company and its subsidiaries taken as a whole or on the performance by the Company of its obligations under this Agreement (a “</w:t>
      </w:r>
      <w:r>
        <w:rPr>
          <w:b/>
          <w:sz w:val="20"/>
        </w:rPr>
        <w:t>Material Adverse Effect</w:t>
      </w:r>
      <w:r>
        <w:rPr>
          <w:sz w:val="20"/>
        </w:rPr>
        <w:t>”). Each of the Company’s subsidiaries has been duly incorporated or organized, as the case may be, and is validly existing as a corporation or other entity, as applicable, in good standing under the laws of the jurisdiction of its incorporation or organization and has the power and authority (corporate or other) to own, lease and operate its properties and to conduct its business as described in the Registration Statement, the Pricing Disclosure Package and the Prospectus, except where the failure to be so qualified or in good standing would not, individually or in the aggregate, result in a Material Adverse Effect. Each of the Company’s subsidiaries is duly qualified as a foreign corporation or other entity, as applicable, to transact business and is in good standing in each jurisdiction in which such qualification is required, whether by reason of the ownership or leasing of property or the conduct of business, except where the failure to be so qualified or in good standing would not, individually or in the aggregate, result in a Material Adverse Effect. All of the share capital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 filed with the Commission.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(h)                </w:t>
      </w:r>
      <w:r>
        <w:rPr>
          <w:i/>
          <w:sz w:val="20"/>
        </w:rPr>
        <w:t>Capitalization.</w:t>
      </w:r>
      <w:r>
        <w:rPr>
          <w:sz w:val="20"/>
        </w:rPr>
        <w:t xml:space="preserve"> The Company has an authorized capitalization as set forth in the Registration Statement, the Pricing Disclosure Package and the Prospectus under the heading “Description of Capital Shares”; all the outstanding share capital of the Company has been duly and validly authorized and issued and is fully paid and non-assessable and is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rights of first refusal, warrants or options to acquire, or instruments convertible into or exchangeable for, any share capital or other equity interest in the Company or any of its subsidiaries, or any contract, commitment, agreement, understanding or arrangement of any kind relating to the issuance of any share capital of the Company or any of its subsidiaries, any such convertible or exchangeable securities or any such rights, warrants or options; and the share capital of the Company conforms in all material respects to the description thereof contained in the Registration Statement, the Pricing Disclosure Package and the Prospectus.</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(i)                 </w:t>
      </w:r>
      <w:r>
        <w:rPr>
          <w:i/>
          <w:sz w:val="20"/>
        </w:rPr>
        <w:t xml:space="preserve">Share Options. </w:t>
      </w:r>
      <w:r>
        <w:rPr>
          <w:sz w:val="20"/>
        </w:rPr>
        <w:t>With respect to the share options (the “</w:t>
      </w:r>
      <w:r>
        <w:rPr>
          <w:b/>
          <w:sz w:val="20"/>
        </w:rPr>
        <w:t>Share Options</w:t>
      </w:r>
      <w:r>
        <w:rPr>
          <w:sz w:val="20"/>
        </w:rPr>
        <w:t>”) granted pursuant to the share-based compensation plans of the Company (the “</w:t>
      </w:r>
      <w:r>
        <w:rPr>
          <w:b/>
          <w:sz w:val="20"/>
        </w:rPr>
        <w:t>Company Share Plans</w:t>
      </w:r>
      <w:r>
        <w:rPr>
          <w:sz w:val="20"/>
        </w:rPr>
        <w:t>”), (i) each Share Option intended to qualify as an “incentive stock option” under Section 422 of the Internal Revenue Code of 1986, as amended (the “</w:t>
      </w:r>
      <w:r>
        <w:rPr>
          <w:b/>
          <w:sz w:val="20"/>
        </w:rPr>
        <w:t>Code</w:t>
      </w:r>
      <w:r>
        <w:rPr>
          <w:sz w:val="20"/>
        </w:rPr>
        <w:t>”) so qualifies, (ii) each grant of a Share Option was duly authorized no later than the date on which the grant of such Share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(iii) each such grant was made in accordance with the terms of the Company Share Plans and all other applicable laws and regulatory rules or requirements and (iv) each such grant was properly accounted for in accordance with GAAP in the financial statements (including the related notes) of the Company. Each Company Share Plan is accurately described in all material respects in the Registration Statement, the Pricing Disclosure Package and the Prospectus. The Company has not knowingly granted, and there is no and has been no policy or practice of the Company granting, Share Options, prior to, or otherwise coordinating the grant of Share Options with, the release or other public announcement of material information regarding the Company or its results of operations or prospects.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(j)                 </w:t>
      </w:r>
      <w:r>
        <w:rPr>
          <w:i/>
          <w:sz w:val="20"/>
        </w:rPr>
        <w:t>Due Authorization.</w:t>
      </w:r>
      <w:r>
        <w:rPr>
          <w:sz w:val="20"/>
        </w:rPr>
        <w:t xml:space="preserve"> The Company has full right, power and authority to execute and deliver this Agreement and the Warrants and to perform its obligations under each of the Agreement and the Warrants, respectively; and all action required to be taken for the due and proper authorization, execution and delivery by it of this Agreement and the Warrants and the consummation by it of the transactions contemplated by each of the Agreement and the Warrants, respectively, has been duly and validly taken.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(k)                </w:t>
      </w:r>
      <w:r>
        <w:rPr>
          <w:i/>
          <w:sz w:val="20"/>
        </w:rPr>
        <w:t xml:space="preserve">Underwriting Agreement. </w:t>
      </w:r>
      <w:r>
        <w:rPr>
          <w:sz w:val="20"/>
        </w:rPr>
        <w:t>This Agreement has been duly authorized, executed and delivered by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(l)                 </w:t>
      </w:r>
      <w:r>
        <w:rPr>
          <w:i/>
          <w:sz w:val="20"/>
        </w:rPr>
        <w:t xml:space="preserve">The Securities. </w:t>
      </w:r>
      <w:r>
        <w:rPr>
          <w:sz w:val="20"/>
        </w:rPr>
        <w:t>The Shares to be issued and sold by the Company hereunder have been duly authorized by the Company and, when issued 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that have not been duly waived or satisfied. The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reserved for issuance upon exercise of the Warrants pursuant to the terms of the Warrants in a number sufficient to meet the current exercise requirements, and when issued and delivered upon valid exercise in accordance with the terms of the Warrants will be validly issued, fully paid and non-assessable, will conform in all material respects to the description thereof contained in the Registration Statement, the Pricing Disclosure Package and the Prospectus, will be issued in compliance with all applicable state, federal and foreign securities laws and will not be issued in violation of or subject to any preemptive or similar right that entitles any person to acquire any security from the Company.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(m)              </w:t>
      </w:r>
      <w:r>
        <w:rPr>
          <w:i/>
          <w:sz w:val="20"/>
        </w:rPr>
        <w:t xml:space="preserve">Listing. </w:t>
      </w:r>
      <w:r>
        <w:rPr>
          <w:sz w:val="20"/>
        </w:rPr>
        <w:t>The Common Shares are registered pursuant to Section 12(b) or 12(g) of the Exchange Act and the Common Shares are listed on the Nasdaq Capital Market, and the Company has taken no action designed to, or likely to have the effect of, terminating the registration of the Common Shares under the Exchange Act or delisting the Common Shares from the Nasdaq Capital Market. Except as disclosed in the Registration Statement or Prospectus, the Company has not received any notification that the Commission or The Nasdaq Stock Market LLC is contemplating terminating such registration or listing. To the Company’s knowledge, and except as otherwise described in the Registration Statement or Prospectus, the Company is in compliance with all applicable listing requirements of The Nasdaq Stock Market LLC.</w:t>
      </w:r>
    </w:p>
    <w:p>
      <w:pPr>
        <w:pStyle w:val="TextBody"/>
        <w:bidi w:val="0"/>
        <w:spacing w:before="0" w:after="0"/>
        <w:ind w:left="72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pacing w:val="-3"/>
          <w:sz w:val="20"/>
        </w:rPr>
        <w:t xml:space="preserve">(n)                </w:t>
      </w:r>
      <w:r>
        <w:rPr>
          <w:i/>
          <w:sz w:val="20"/>
        </w:rPr>
        <w:t>No Violation or Default.</w:t>
      </w:r>
      <w:r>
        <w:rPr>
          <w:sz w:val="20"/>
        </w:rPr>
        <w:t xml:space="preserve"> Neither the Company nor any of its subsidiaries is </w:t>
      </w:r>
      <w:r>
        <w:rPr>
          <w:spacing w:val="-3"/>
          <w:sz w:val="20"/>
        </w:rPr>
        <w:t xml:space="preserve">(i)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w:t>
      </w:r>
      <w:r>
        <w:rPr>
          <w:sz w:val="20"/>
        </w:rPr>
        <w:t>court or arbitrator or governmental or regulatory authority</w:t>
      </w:r>
      <w:r>
        <w:rPr>
          <w:spacing w:val="-3"/>
          <w:sz w:val="20"/>
        </w:rPr>
        <w:t>, except, in the case of clauses (ii) and (iii) above, for any such default or violation that would not, individually or in the aggregate, reasonably be expected to have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(o)                </w:t>
      </w:r>
      <w:r>
        <w:rPr>
          <w:i/>
          <w:spacing w:val="-3"/>
          <w:sz w:val="20"/>
        </w:rPr>
        <w:t xml:space="preserve">No Conflicts. </w:t>
      </w:r>
      <w:r>
        <w:rPr>
          <w:spacing w:val="-3"/>
          <w:sz w:val="20"/>
        </w:rPr>
        <w:t>The execution, delivery and performance by the Company of this Agreement and the Warrants, the issuance and sale of the Securities and the consummation of the transactions contemplated by this Agreement and the Warrants or the Pricing Disclosure Package and the Prospectus will not (i) conflict with or result in a breach or violation</w:t>
      </w:r>
      <w:r>
        <w:rPr>
          <w:sz w:val="20"/>
        </w:rPr>
        <w:t xml:space="preserve"> of any of the terms or provisions of, or constitute a default under, result in the termination, modification or acceleration of, or result in the creation or imposition of any lien, charge or encumbrance upon any property, right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right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have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(p)                </w:t>
      </w:r>
      <w:r>
        <w:rPr>
          <w:i/>
          <w:sz w:val="20"/>
        </w:rPr>
        <w:t>No Consents Required.</w:t>
      </w:r>
      <w:r>
        <w:rPr>
          <w:sz w:val="20"/>
        </w:rPr>
        <w:t xml:space="preserve"> No consent, filing, approval, authorization, order, license, registration or qualification of or with any court or arbitrator or governmental or regulatory authority is required for the execution, delivery and performance by the Company of this Agreement and the Warrants, the issuance and sale of the Securities and the </w:t>
      </w:r>
      <w:r>
        <w:rPr>
          <w:spacing w:val="-3"/>
          <w:sz w:val="20"/>
        </w:rPr>
        <w:t>consummation of the transactions contemplated by this Agreement and the Warrants</w:t>
      </w:r>
      <w:r>
        <w:rPr>
          <w:sz w:val="20"/>
        </w:rPr>
        <w:t xml:space="preserve">, except for </w:t>
      </w:r>
      <w:r>
        <w:rPr>
          <w:spacing w:val="-3"/>
          <w:sz w:val="20"/>
        </w:rPr>
        <w:t>the registration of the Securities under the Securities Act and</w:t>
      </w:r>
      <w:r>
        <w:rPr>
          <w:sz w:val="20"/>
        </w:rPr>
        <w:t xml:space="preserve"> such consents, approvals, authorizations, orders and registrations or qualifications as may be required by the Financial Industry Regulatory Authority, Inc. (“</w:t>
      </w:r>
      <w:r>
        <w:rPr>
          <w:b/>
          <w:sz w:val="20"/>
        </w:rPr>
        <w:t>FINRA</w:t>
      </w:r>
      <w:r>
        <w:rPr>
          <w:sz w:val="20"/>
        </w:rPr>
        <w:t>”), the Nasdaq Capital Market and under applicable state securities laws in connection with the purchase and distribution of the Securities by the Underwriters, and such as have been obtained or made by the Company and its subsidiaries and are in full force and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(q)                </w:t>
      </w:r>
      <w:r>
        <w:rPr>
          <w:i/>
          <w:sz w:val="20"/>
        </w:rPr>
        <w:t>Legal Proceedings.</w:t>
      </w:r>
      <w:r>
        <w:rPr>
          <w:sz w:val="20"/>
        </w:rPr>
        <w:t xml:space="preserve"> There are no legal, governmental or regulatory investigations, actions, demands, claims, suits, arbitrations, inquiries or proceedings (“</w:t>
      </w:r>
      <w:r>
        <w:rPr>
          <w:b/>
          <w:sz w:val="20"/>
        </w:rPr>
        <w:t>Actions</w:t>
      </w:r>
      <w:r>
        <w:rPr>
          <w:sz w:val="20"/>
        </w:rPr>
        <w:t>”) pending to which the Company or any of its subsidiaries is or may reasonably be expected to become a party or to which any property of the Company or any of its subsidiaries is or may reasonably be expected to become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(r)                 </w:t>
      </w:r>
      <w:r>
        <w:rPr>
          <w:i/>
          <w:sz w:val="20"/>
        </w:rPr>
        <w:t>Independent Accountants</w:t>
      </w:r>
      <w:r>
        <w:rPr>
          <w:sz w:val="20"/>
        </w:rPr>
        <w:t>. MNP LLP, who has certified certain financial statements of the Company, is an independent registered public accounting firm with respect to the Company within the applicable rules and regulations adopted by the Commission and the Public Company Accounting Oversight Board (United States) and as required by the Securities Act and the Exchange Act.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(s)                 </w:t>
      </w:r>
      <w:r>
        <w:rPr>
          <w:i/>
          <w:sz w:val="20"/>
        </w:rPr>
        <w:t>Title to Real and Personal Property</w:t>
      </w:r>
      <w:r>
        <w:rPr>
          <w:sz w:val="20"/>
        </w:rPr>
        <w:t>. The Company and its subsidiaries have good and marketable title in fee simple (in the case of real property) to, or have valid rights to lease or otherwise use, all items of real and personal property and assets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or its subsidiaries or (ii) would not reasonably be expected, individually or in the aggregate, to have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(t)                 </w:t>
      </w:r>
      <w:r>
        <w:rPr>
          <w:i/>
          <w:spacing w:val="-3"/>
          <w:sz w:val="20"/>
        </w:rPr>
        <w:t>Title to Intellectual Property</w:t>
      </w:r>
      <w:r>
        <w:rPr>
          <w:spacing w:val="-3"/>
          <w:sz w:val="20"/>
        </w:rPr>
        <w:t>. The Company and its subsidiaries own, or possess valid and enforceable licensed rights to use, or can acquire on reasonable terms, all material patents, patent applications, trademarks, service marks, trade names, trademark registrations, service mark registrations, trade dress, designs, data, database rights, internet domain names, copyrights, works of authorship, licenses, proprietary information and know-how (including trade secrets and other unpatented and/or unpatentable proprietary or confidential information, systems or procedures) necessary for the conduct of their respective businesses as currently conducted and as proposed to be conducted (collectively, “</w:t>
      </w:r>
      <w:r>
        <w:rPr>
          <w:b/>
          <w:spacing w:val="-3"/>
          <w:sz w:val="20"/>
        </w:rPr>
        <w:t>Intellectual Property</w:t>
      </w:r>
      <w:r>
        <w:rPr>
          <w:spacing w:val="-3"/>
          <w:sz w:val="20"/>
        </w:rPr>
        <w:t xml:space="preserve">”), and the conduct of their respective businesses does not and will not infringe, misappropriate or otherwise conflict in any material respect with any such rights of others. The </w:t>
      </w:r>
      <w:r>
        <w:rPr>
          <w:sz w:val="20"/>
        </w:rPr>
        <w:t xml:space="preserve">Intellectual Property has not been adjudged by a court of competent jurisdiction to be invalid or unenforceable, in whole or in part, and the Company is </w:t>
      </w:r>
      <w:r>
        <w:rPr>
          <w:spacing w:val="-3"/>
          <w:sz w:val="20"/>
        </w:rPr>
        <w:t>unaware of any facts which would form a reasonable basis for any</w:t>
      </w:r>
      <w:r>
        <w:rPr>
          <w:sz w:val="20"/>
        </w:rPr>
        <w:t xml:space="preserve"> such adjudication. </w:t>
      </w:r>
      <w:r>
        <w:rPr>
          <w:spacing w:val="-3"/>
          <w:sz w:val="20"/>
        </w:rPr>
        <w:t>Neither the Company nor any of its subsidiaries has received any notice of any claim of infringement, misappropriation or conflict with any intellectual property rights of another which would, singly or in the aggregate, result in a Material Adverse Effect, and the Company is unaware of any facts which would form a reasonable basis for any such notice or claim. To the Company’s knowledge and except for customary reversionary rights of third-party licensors with respect to Intellectual Property that is disclosed in the Registration Statement, the Pricing Disclosure Package and the Prospectus (“</w:t>
      </w:r>
      <w:r>
        <w:rPr>
          <w:b/>
          <w:spacing w:val="-3"/>
          <w:sz w:val="20"/>
        </w:rPr>
        <w:t>Disclosure Documents</w:t>
      </w:r>
      <w:r>
        <w:rPr>
          <w:spacing w:val="-3"/>
          <w:sz w:val="20"/>
        </w:rPr>
        <w:t xml:space="preserve">”) as owned by or licensed to the Company or any of its subsidiaries: (i) there are no third parties who have rights to any Intellectual Property and (ii) there is no infringement by third parties of any Intellectual Property. </w:t>
      </w:r>
      <w:r>
        <w:rPr>
          <w:sz w:val="20"/>
        </w:rPr>
        <w:t>Except as disclosed in the Registration Statement, the Pricing Disclosure Package and the Prospectus, t</w:t>
      </w:r>
      <w:r>
        <w:rPr>
          <w:spacing w:val="-3"/>
          <w:sz w:val="20"/>
        </w:rPr>
        <w:t>here is no pending or, to the Company’s knowledge, threatened action, suit, proceeding or claim by others: (A) challenging the Company’s or any of its subsidiaries’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misappropriates, or otherwise violates, or would, upon the commercialization of any product or service described in the Disclosure Documents as under development, infringe, misappropriate or otherwise violate, any intellectual property rights of others, and the Company is unaware of any facts which would form a reasonable basis for any such action, suit, proceeding or claim.</w:t>
      </w:r>
    </w:p>
    <w:p>
      <w:pPr>
        <w:pStyle w:val="TextBody"/>
        <w:bidi w:val="0"/>
        <w:spacing w:before="0" w:after="0"/>
        <w:ind w:left="720" w:right="0" w:firstLine="720"/>
        <w:jc w:val="both"/>
        <w:rPr>
          <w:spacing w:val="-3"/>
        </w:rPr>
      </w:pPr>
      <w:r>
        <w:rPr>
          <w:spacing w:val="-3"/>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sz w:val="20"/>
        </w:rPr>
      </w:pPr>
      <w:r>
        <w:rPr>
          <w:spacing w:val="-3"/>
          <w:sz w:val="20"/>
        </w:rPr>
        <w:t xml:space="preserve">The Company and its subsidiaries have materially complied with the terms of each agreement pursuant to which Intellectual Property has been licensed to the Company or any of its subsidiaries, and all such agreements are in full force and effect. To the Company’s knowledge, there are no material defects in any of the patents or patent applications included in the Intellectual Property. </w:t>
      </w:r>
      <w:r>
        <w:rPr>
          <w:sz w:val="20"/>
        </w:rPr>
        <w:t xml:space="preserve">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To the Company’s knowledge, none of the Intellectual Property or technology (including information technology and outsourced arrangements) employed by the Company or its subsidiaries has been obtained or is being used by the Company or its subsidiaries in violation of any contractual obligation binding on the Company or its subsidiaries or any of their respective officers, directors or employees or otherwise in violation of the rights of any persons. </w:t>
      </w:r>
      <w:r>
        <w:rPr>
          <w:spacing w:val="-3"/>
          <w:sz w:val="20"/>
        </w:rPr>
        <w:t>The product candidates described in the Disclosure Documents as under development by the Company or any subsidiary fall within the scope of the claims of one or more patents or patent applications owned by, or exclusively licensed to, the Company or any subsidiary.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(u)                </w:t>
      </w:r>
      <w:r>
        <w:rPr>
          <w:i/>
          <w:sz w:val="20"/>
        </w:rPr>
        <w:t>Trade Secrets</w:t>
      </w:r>
      <w:r>
        <w:rPr>
          <w:sz w:val="20"/>
        </w:rPr>
        <w:t>. The Company and its subsidiaries have taken reasonable and customary actions to protect their rights in and prevent the unauthorized use and disclosure of material trade secrets and confidential business information (including confidential source code, ideas, research and development information, know-how, formulas, compositions, technical data, designs, drawings, specifications, research records, records of inventions, test information, financial, marketing and business data, customer and supplier lists and information, pricing and cost information, business and marketing plans and proposals) owned by the Company or its subsidiaries, and, to the knowledge of the Company, there has been no unauthorized use or disclosure.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(v)                </w:t>
      </w:r>
      <w:r>
        <w:rPr>
          <w:i/>
          <w:sz w:val="20"/>
        </w:rPr>
        <w:t>IT Assets</w:t>
      </w:r>
      <w:r>
        <w:rPr>
          <w:sz w:val="20"/>
        </w:rPr>
        <w:t>. Except as could not reasonably be expected to have a Material Adverse Effect (i) the computers, software, servers, networks, data communications lines, and other information technology systems owned, licensed, leased or otherwise used by the Company (excluding any public networks) (collectively, the “</w:t>
      </w:r>
      <w:r>
        <w:rPr>
          <w:b/>
          <w:sz w:val="20"/>
        </w:rPr>
        <w:t>IT Assets</w:t>
      </w:r>
      <w:r>
        <w:rPr>
          <w:sz w:val="20"/>
        </w:rPr>
        <w:t>”) operate and perform as is necessary for the operation of the business of the Company as currently conducted and as proposed to be conducted as described in the Registration Statement, the Pricing Disclosure Package and the Prospectus, and (ii) such IT Assets are not infected by viruses, disabling code or other harmful code. The Company and its subsidiaries have implemented and maintained all reasonably necessary controls, policies, procedures, and safeguards to maintain and protect their confidential information and the integrity, continuous operation, redundancy and security of all IT Assets and data (including all Personal Data (defined below) that is sensitive, confidential or regulated data (“</w:t>
      </w:r>
      <w:r>
        <w:rPr>
          <w:b/>
          <w:sz w:val="20"/>
        </w:rPr>
        <w:t>Confidential Data</w:t>
      </w:r>
      <w:r>
        <w:rPr>
          <w:sz w:val="20"/>
        </w:rPr>
        <w:t>”) used in connection with their businesses, and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(w)              </w:t>
      </w:r>
      <w:r>
        <w:rPr>
          <w:i/>
          <w:sz w:val="20"/>
        </w:rPr>
        <w:t>Compliance with Data Privacy Laws</w:t>
      </w:r>
      <w:r>
        <w:rPr>
          <w:sz w:val="20"/>
        </w:rPr>
        <w:t>. The Company and its subsidiaries are, and at all prior times were, in material compliance with all applicable state and federal data privacy and security laws and regulations, including without limitation HIPAA (as defined below), and the Company and its subsidiaries have taken commercially reasonable actions to prepare to comply with, and since May 25, 2018, have been and currently are in compliance with, the European Union General Data Protection Regulation (“</w:t>
      </w:r>
      <w:r>
        <w:rPr>
          <w:b/>
          <w:sz w:val="20"/>
        </w:rPr>
        <w:t>GDPR</w:t>
      </w:r>
      <w:r>
        <w:rPr>
          <w:sz w:val="20"/>
        </w:rPr>
        <w:t>”) (EU 2016/679) (collectively, the “</w:t>
      </w:r>
      <w:r>
        <w:rPr>
          <w:b/>
          <w:sz w:val="20"/>
        </w:rPr>
        <w:t>Privacy Laws</w:t>
      </w:r>
      <w:r>
        <w:rPr>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b/>
          <w:sz w:val="20"/>
        </w:rPr>
        <w:t>Policies</w:t>
      </w:r>
      <w:r>
        <w:rPr>
          <w:sz w:val="20"/>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(x)                </w:t>
      </w:r>
      <w:r>
        <w:rPr>
          <w:i/>
          <w:sz w:val="20"/>
        </w:rPr>
        <w:t>FDA, Health Canada and USDA Compliance</w:t>
      </w:r>
      <w:r>
        <w:rPr>
          <w:sz w:val="20"/>
        </w:rPr>
        <w:t>. The Company and its subsidiaries: (A) are and at all times have been in compliance with all statutes, rules or regulations of the FDA, Health Canada, USDA and other comparable governmental entities applicable to the ownership, testing, development, manufacture, packaging, processing, use, distribution, marketing, labeling, promotion, sale, offer for sale, storage, import, export or disposal of any product under development, manufactured or distributed by the Company or its subsidiaries (“</w:t>
      </w:r>
      <w:r>
        <w:rPr>
          <w:b/>
          <w:sz w:val="20"/>
        </w:rPr>
        <w:t>Applicable Laws</w:t>
      </w:r>
      <w:r>
        <w:rPr>
          <w:sz w:val="20"/>
        </w:rPr>
        <w:t>”), except where such noncompliance would not singly or in the aggregate reasonably be expected to result in a Material Adverse Effect; (B) possess all material licenses, certificates, approvals, clearances, exemptions, authorizations, permits and supplements or amendments thereto required by any such Applicable Laws (“</w:t>
      </w:r>
      <w:r>
        <w:rPr>
          <w:b/>
          <w:sz w:val="20"/>
        </w:rPr>
        <w:t>Authorizations</w:t>
      </w:r>
      <w:r>
        <w:rPr>
          <w:sz w:val="20"/>
        </w:rPr>
        <w:t>”) and such Authorizations are valid and in full force and effect and neither the Company nor any of its subsidiaries is in material violation of any term of any such Authorizations; and (C) have not received written notice that the FDA, Health Canada or any governmental entity has taken, is taking or intends to take action to limit, suspend, modify or revoke any Authorizations and have no knowledge that the FDA, Health Canada or any governmental entity is considering such action.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(y)                </w:t>
      </w:r>
      <w:r>
        <w:rPr>
          <w:i/>
          <w:sz w:val="20"/>
        </w:rPr>
        <w:t>Tests and Preclinical and Clinical Trials</w:t>
      </w:r>
      <w:r>
        <w:rPr>
          <w:sz w:val="20"/>
        </w:rPr>
        <w:t>. The studies, tests and preclinical and clinical trials conducted by or, to the Company’s knowledge, on behalf of the Company were and, if still ongoing, are being conducted in all material respects in accordance with Applicable Laws, including, without limitation, the Federal Food, Drug and Cosmetic Act; except to the extent disclosed in the Registration Statement, the Pricing Disclosure Package and the Prospectus, the Company is not aware of any studies, tests or trials, the results of which reasonably call into question the study, test, or trial results described or referred to in the Registration Statement, the Pricing Disclosure Package and the Prospectus when viewed in the context in which such results are described and the state of development; and, except to the extent disclosed in the Registration Statement, the Pricing Disclosure Package or the Prospectus, the Company has not received any written notices or correspondence from the FDA, Health Canada or any governmental entity requiring the termination or suspension of any studies, tests or preclinical or clinical trials conducted by or on behalf of the Company, other than ordinary course communications with respect to modifications in connection with the design and implementation of such trials.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(z)                </w:t>
      </w:r>
      <w:r>
        <w:rPr>
          <w:i/>
          <w:sz w:val="20"/>
        </w:rPr>
        <w:t>Compliance with Health Care Laws</w:t>
      </w:r>
      <w:r>
        <w:rPr>
          <w:sz w:val="20"/>
        </w:rPr>
        <w:t>. The Company and its subsidiaries have been at all times in compliance with all Health Care Laws, except where such noncompliance would not singly or in the aggregate reasonably be expected to result in a Material Adverse Effect. For purposes of this Agreement, “Health Care Laws” means: (i) the Federal Food, Drug, and Cosmetic Act (21 U.S.C. Section 301 et seq.) and the regulations promulgated thereunder; (ii) all applicable federal, state, local and foreign health care fraud and abuse laws, including, without limitation, the U.S. Anti-Kickback Statute (42 U.S.C. Section 1320a-7b(b)), the U.S. Civil False Claims Act (31 U.S.C. Section 3729 et seq.), the Criminal False Statements Law (42 U.S.C. Section 1320a-7b(a)), 18 U.S.C. Sections 286 and 287, the health care fraud criminal provisions under the U.S. Health Insurance Portability and Accountability Act of 1996 (“</w:t>
      </w:r>
      <w:r>
        <w:rPr>
          <w:b/>
          <w:sz w:val="20"/>
        </w:rPr>
        <w:t>HIPAA</w:t>
      </w:r>
      <w:r>
        <w:rPr>
          <w:sz w:val="20"/>
        </w:rPr>
        <w:t>”) (42 U.S.C. Section 1320d et seq.), the Stark Law (42 U.S.C. Section 1395nn), the civil monetary penalties law (42 U.S.C. Section 1320a-7a), the exclusions law (42 U.S.C. Section 1320a-7), the Physician Payments Sunshine Act (42 U.S.C. Section 1320a-7h), and applicable laws governing government funded or sponsored healthcare programs; (iii) HIPAA, as amended by the Health Information Technology for Economic and Clinical Health Act (42 U.S.C. Section 17921 et seq.), (iv) Medicare (Title XVIII of the Social Security Act), Medicaid (Title XIX of the Social Security Act), (v) the Public Health Service Act (42 U.S.C. § 201 et seq.), (vi) the regulations promulgated pursuant to such statutes and any state or foreign counterpart thereof, (vii) any similar applicable local, state, federal, national, supranational and foreign laws, relating to the regulation of the Company, and (viii) any and all other applicable health care laws and regulations.Neither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respects (or were corrected or supplemented by a subsequent submission), except where such failure would not, singly or in the aggregate, reasonably be expected to result in a Material Adverse Effect.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(aa)             </w:t>
      </w:r>
      <w:r>
        <w:rPr>
          <w:i/>
          <w:sz w:val="20"/>
        </w:rPr>
        <w:t>No Undisclosed Relationships</w:t>
      </w:r>
      <w:r>
        <w:rPr>
          <w:sz w:val="20"/>
        </w:rPr>
        <w:t>. No relationship, direct or indirect, exists between or among the Company, on the one hand, and the directors, officers, shareholders, customers, suppliers or other affiliates of the Company, on the other, that is required by the Securities Act to be described in each of the Registration Statement and the Prospectus and that is not so described in such documents and in the Pricing Disclosure Package.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(bb)            </w:t>
      </w:r>
      <w:r>
        <w:rPr>
          <w:i/>
          <w:sz w:val="20"/>
        </w:rPr>
        <w:t>Investment Company Act</w:t>
      </w:r>
      <w:r>
        <w:rPr>
          <w:sz w:val="20"/>
        </w:rPr>
        <w:t>. The Company is not and, after giving effect to the public offering and sale of the Securities and the 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w:t>
      </w:r>
      <w:r>
        <w:rPr>
          <w:b/>
          <w:sz w:val="20"/>
        </w:rPr>
        <w:t>Investment Company Act</w:t>
      </w:r>
      <w:r>
        <w:rPr>
          <w:sz w:val="20"/>
        </w:rPr>
        <w: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(cc)             </w:t>
      </w:r>
      <w:r>
        <w:rPr>
          <w:i/>
          <w:sz w:val="20"/>
        </w:rPr>
        <w:t>Taxes.</w:t>
      </w:r>
      <w:r>
        <w:rPr>
          <w:sz w:val="20"/>
        </w:rPr>
        <w:t xml:space="preserve"> The Company and its subsidiaries have paid all federal, state, local and foreign taxes and filed all tax returns required to be paid or filed through the date hereof, except for those taxes and tax returns whose failure to pay or file would not reasonably be expected to have a Material Adverse Effect; and, except as otherwise disclosed in the Registration Statement, the Pricing Disclosure Package or the Prospectus, there is no tax deficiency that has been, or could reasonably be expected to be, asserted against the Company or any of its subsidiaries or any of their respective properties or assets that has had or would reasonably be expected to have a Material Adverse Effect, except for any tax deficiency being contested in good faith and for which appropriate reserves have been provided in accordance with GAAP. No stamp or other issuance or transfer taxes, duties or similar charges are payable by, or required to be withheld on behalf of, the Underwriters to Canada or any political subdivision or taxing authority thereof or therein in connection with (i) the execution, delivery or performance of this Agreement or the Warrants or (ii) the issuance, sale or delivery of the Securities to the Underwriters or resale of Securities by an Underwriter to U.S. residents.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(dd)            </w:t>
      </w:r>
      <w:r>
        <w:rPr>
          <w:i/>
          <w:sz w:val="20"/>
        </w:rPr>
        <w:t>Licenses and Permits.</w:t>
      </w:r>
      <w:r>
        <w:rPr>
          <w:sz w:val="20"/>
        </w:rPr>
        <w:t xml:space="preserve"> 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have a Material Adverse Effect; and, except as disclosed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or modification would not, individually or in the aggregate, reasonably be expected to have a Material Adverse Effect. No party granting any such licenses, certificates, permits and other authorizations has taken any action to limit, suspend or revoke the same in any respect, except where such action would not, singly or in the aggregate, reasonably be expected to result in a Material Adverse Effect. The Company and its subsidiaries have filed, obtained, maintained or submitted all reports, documents, forms, notices, applications, records, claims, submissions and supplements or amendments as required and that all such reports, documents, forms, notices, applications, records, claims, submissions and supplements or amendments were complete and correct on the date filed (or were corrected or supplemented by a subsequent submission) as required for maintenance of their licenses, certificates, permits and other authorizations that are necessary for the conduct of their respective businesses, except where such non-compliance would not, individually or in the aggregate, reasonably be expected to have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(ee)             </w:t>
      </w:r>
      <w:r>
        <w:rPr>
          <w:i/>
          <w:sz w:val="20"/>
        </w:rPr>
        <w:t>No Labor Disputes.</w:t>
      </w:r>
      <w:r>
        <w:rPr>
          <w:sz w:val="20"/>
        </w:rPr>
        <w:t xml:space="preserve"> No labor disturbance by or dispute with employees of the Company or any of its subsidiaries exists or, to the knowledge of the Company, is threatened, and neither the Company nor any of its subsidiaries is aware of any existing or imminent labor disturbance by, or dispute with, the employees of any of its principal suppliers, contractors or customers, except in any event as would not reasonably be expected to have a Material Adverse Effect. Neither the Company nor any of its subsidiaries has received any notice of cancellation or termination with respect to any collective bargaining agreement that is material to the Company and its subsidiaries taken as a whole.</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(ff)               </w:t>
      </w:r>
      <w:r>
        <w:rPr>
          <w:i/>
          <w:sz w:val="20"/>
        </w:rPr>
        <w:t xml:space="preserve">Certain Environmental Matters. </w:t>
      </w:r>
      <w:r>
        <w:rPr>
          <w:sz w:val="20"/>
        </w:rPr>
        <w:t>(i) The Company and its subsidiaries (x) are in compliance with all, and have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b/>
          <w:sz w:val="20"/>
        </w:rPr>
        <w:t>Environmental Laws</w:t>
      </w:r>
      <w:r>
        <w:rPr>
          <w:sz w:val="20"/>
        </w:rPr>
        <w:t>”); (y) have received and are in compliance with all, and have not violated any, permits, licenses, certificates or other authorizations or approvals required of them under any Environmental Laws to conduct their respective businesses; and (z) have not received written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(x) there is no proceeding that is pending, or that is known by the Company to be contemplated, against the Company or any of its subsidiaries under any Environmental Laws in which a governmental entity is also a party, other than such proceeding regarding which the Company reasonably believes no monetary sanctions of $100,000 or more will be imposed, (y) the Company is not aware of any facts or issues regarding compliance with Environmental Laws, or liabilities or other obligations under Environmental Laws or concerning hazardous or toxic substances or wastes, pollutants or contaminants, that would, individually or in the aggregate, reasonably be expected to have a Material Adverse Effect, and (z) neither the Company nor any of its subsidiaries anticipates material capital expenditures relating to any Environmental Laws.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(gg)            </w:t>
      </w:r>
      <w:r>
        <w:rPr>
          <w:i/>
          <w:sz w:val="20"/>
        </w:rPr>
        <w:t>Hazardous Materials</w:t>
      </w:r>
      <w:r>
        <w:rPr>
          <w:sz w:val="20"/>
        </w:rPr>
        <w:t>. There has been no storage, generation, transportation, use, handling, treatment, Release or threat of Release of Hazardous Materials by, relating to or caused by the Company or any of its subsidiaries (or, to the knowledge of the Company, any other entity (including any predecessor) for whose acts or omissions the Company or any of its subsidiaries is or could reasonably be expected to be liable) at, on, under or from any property or facility now or previously owned, operated or leased by the Company or any of its subsidiaries, or at, on, under or from any other property or facility,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(hh)            </w:t>
      </w:r>
      <w:r>
        <w:rPr>
          <w:i/>
          <w:sz w:val="20"/>
        </w:rPr>
        <w:t>Compliance with ERISA.</w:t>
      </w:r>
      <w:r>
        <w:rPr>
          <w:sz w:val="20"/>
        </w:rPr>
        <w:t xml:space="preserve"> (i) Each employee benefit plan, within the meaning of Section 3(3) of the Employee Retirement Income Security Act of 1974, as amended (“</w:t>
      </w:r>
      <w:r>
        <w:rPr>
          <w:b/>
          <w:sz w:val="20"/>
        </w:rPr>
        <w:t>ERISA</w:t>
      </w:r>
      <w:r>
        <w:rPr>
          <w:sz w:val="20"/>
        </w:rPr>
        <w:t>”), for which the Company, any of its subsidiaries, 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Code) would have any liability (each, a “</w:t>
      </w:r>
      <w:r>
        <w:rPr>
          <w:b/>
          <w:sz w:val="20"/>
        </w:rPr>
        <w:t>Plan</w:t>
      </w:r>
      <w:r>
        <w:rPr>
          <w:sz w:val="20"/>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to the knowledge of the Company, nothing has occurred, whether by action or by failure to act, which would reasonably be expected to cause the loss of such qualification; (viii) neither the Company nor any of its subsidiaries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its subsidiaries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Company’s “accumulated post-retirement benefit obligations” (within the meaning of Accounting Standards Codification Topic 715-60) compared to the amount of such obligations in the Company’s most recently completed fiscal year, except in each case with respect to the events or conditions set forth in (i) through (ix) hereof, as would not, individually or in the aggregate, have a Material Adverse Effect.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(ii)               </w:t>
      </w:r>
      <w:r>
        <w:rPr>
          <w:i/>
          <w:sz w:val="20"/>
        </w:rPr>
        <w:t>Disclosure Controls</w:t>
      </w:r>
      <w:r>
        <w:rPr>
          <w:sz w:val="20"/>
        </w:rPr>
        <w:t>. The Company maintains an effective system of “disclosure controls and procedures” (as defined in Rule 13a-15(e) of the Exchange Act) that complies with the requirements of the Exchange Act and that has been designed to ensure that material information relating to the Company, including its consolidated subsidiaries,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through June 30, 2026.</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(jj)               </w:t>
      </w:r>
      <w:r>
        <w:rPr>
          <w:i/>
          <w:sz w:val="20"/>
        </w:rPr>
        <w:t>Accounting Controls.</w:t>
      </w:r>
      <w:r>
        <w:rPr>
          <w:sz w:val="20"/>
        </w:rPr>
        <w:t xml:space="preserve"> The Company and each of its subsidiaries make and keep accurate books and records and maintain systems of “internal control over financial reporting” (as defined in Rule 13a-15(f) of the Exchange Act) that are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Pricing Disclosure Package and the Prospectus fairly presents the information called for in all material respects and is prepared in accordance with the Commission’s rules and guidelines applicable thereto.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(kk)            </w:t>
      </w:r>
      <w:r>
        <w:rPr>
          <w:i/>
          <w:sz w:val="20"/>
        </w:rPr>
        <w:t xml:space="preserve">Insurance. </w:t>
      </w:r>
      <w:r>
        <w:rPr>
          <w:sz w:val="20"/>
        </w:rPr>
        <w:t>The Company and its subsidiaries have insurance covering their respective properties, operations, personnel and businesses, including business interruption insurance, which insurance is in amounts and insures against such losses and risks as are generally maintained by similarly situated companies and which the Company believes are reasonably adequate to protect the Company,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(ll)               </w:t>
      </w:r>
      <w:r>
        <w:rPr>
          <w:i/>
          <w:sz w:val="20"/>
        </w:rPr>
        <w:t>No Unlawful Payments.</w:t>
      </w:r>
      <w:r>
        <w:rPr>
          <w:sz w:val="20"/>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(mm)        </w:t>
      </w:r>
      <w:r>
        <w:rPr>
          <w:i/>
          <w:sz w:val="20"/>
        </w:rPr>
        <w:t>Compliance with Anti-Money Laundering Laws</w:t>
      </w:r>
      <w:r>
        <w:rPr>
          <w:sz w:val="20"/>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its subsidiaries conduct business, the rules and regulations thereunder and any related or similar rules, regulations or guidelines issued, administered or enforced by any governmental or regulatory agency (collectively, the “</w:t>
      </w:r>
      <w:r>
        <w:rPr>
          <w:b/>
          <w:sz w:val="20"/>
        </w:rPr>
        <w:t>Anti-Money Laundering Laws</w:t>
      </w:r>
      <w:r>
        <w:rPr>
          <w:sz w:val="20"/>
        </w:rPr>
        <w:t>”)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(nn)            </w:t>
      </w:r>
      <w:r>
        <w:rPr>
          <w:i/>
          <w:sz w:val="20"/>
        </w:rPr>
        <w:t xml:space="preserve">No Conflicts with Sanctions Laws. </w:t>
      </w:r>
      <w:r>
        <w:rPr>
          <w:sz w:val="20"/>
        </w:rPr>
        <w:t>Neither the Company nor any of its subsidiaries, directors, officers or employees, nor, to the knowledge of the Company, any agent, or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b/>
          <w:sz w:val="20"/>
        </w:rPr>
        <w:t>Sanctions</w:t>
      </w:r>
      <w:r>
        <w:rPr>
          <w:sz w:val="20"/>
        </w:rPr>
        <w:t>”), nor is the Company or any of its subsidiaries located, organized or resident in a country or territory that is the subject or the target of Sanctions, including, without limitation, Cuba, Iran, North Korea, Syria, and certain regions of Ukraine (Crimea, Donetsk People’s Republic, Luhansk People’s Republic, Kherson and Zaporizhzhia) (each, a “</w:t>
      </w:r>
      <w:r>
        <w:rPr>
          <w:b/>
          <w:sz w:val="20"/>
        </w:rPr>
        <w:t>Sanctioned Country</w:t>
      </w:r>
      <w:r>
        <w:rPr>
          <w:sz w:val="20"/>
        </w:rPr>
        <w:t>”); and the Company will not directly or indirectly use the proceeds of the public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neither the Company nor any of its subsidiaries has knowingly engaged in and neither is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(oo)            </w:t>
      </w:r>
      <w:r>
        <w:rPr>
          <w:i/>
          <w:sz w:val="20"/>
        </w:rPr>
        <w:t>No Broker’s Fees.</w:t>
      </w:r>
      <w:r>
        <w:rPr>
          <w:sz w:val="20"/>
        </w:rPr>
        <w:t xml:space="preserve"> The Company is not a party to any contract, agreement or understanding with any person (other than this Agreement) that would give rise to a valid claim against the Company or any Underwriter for a brokerage commission, finder’s fee or like payment in connection with the public offering and sale of the Securities.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(pp)            </w:t>
      </w:r>
      <w:r>
        <w:rPr>
          <w:i/>
          <w:sz w:val="20"/>
        </w:rPr>
        <w:t>No Registration Rights</w:t>
      </w:r>
      <w:r>
        <w:rPr>
          <w:sz w:val="20"/>
        </w:rPr>
        <w:t>. No person has the right to require the Company to register any securities for sale under the Securities Act by reason of the filing of the Registration Statement with the Commission or the issuance and sale of the Securities, except for such rights as have duly been waived.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(qq)            </w:t>
      </w:r>
      <w:r>
        <w:rPr>
          <w:i/>
          <w:sz w:val="20"/>
        </w:rPr>
        <w:t>No Stabilization.</w:t>
      </w:r>
      <w:r>
        <w:rPr>
          <w:sz w:val="20"/>
        </w:rPr>
        <w:t xml:space="preserve"> Neither the Company nor, to the Company’s knowledge, affiliates have taken, </w:t>
      </w:r>
      <w:r>
        <w:rPr>
          <w:spacing w:val="-3"/>
          <w:sz w:val="20"/>
        </w:rPr>
        <w:t>directly or indirectly, any action designed to or that could reasonably be expected to cause or result in any stabilization or manipulation of the price of the Securities.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(rr)               </w:t>
      </w:r>
      <w:r>
        <w:rPr>
          <w:i/>
          <w:sz w:val="20"/>
        </w:rPr>
        <w:t>Margin Rules</w:t>
      </w:r>
      <w:r>
        <w:rPr>
          <w:sz w:val="20"/>
        </w:rPr>
        <w:t>. Neither the issuance, sale and delivery of the Securities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(ss)              </w:t>
      </w:r>
      <w:r>
        <w:rPr>
          <w:i/>
          <w:sz w:val="20"/>
        </w:rPr>
        <w:t>Forward-Looking Statements.</w:t>
      </w:r>
      <w:r>
        <w:rPr>
          <w:sz w:val="20"/>
        </w:rPr>
        <w:t xml:space="preserve">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i/>
          <w:sz w:val="20"/>
        </w:rPr>
        <w:t>(tt)               Statistical and Market Data.</w:t>
      </w:r>
      <w:r>
        <w:rPr>
          <w:sz w:val="20"/>
        </w:rPr>
        <w:t xml:space="preserve"> Nothing has come to the attention of the Company that has caused the Company to believe that the statistical and market-related data included in each of the Registration Statement, the Pricing Disclosure Package and the Prospectus is not based on or derived from sources that are reliable and accurate in all material respects.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(uu)            </w:t>
      </w:r>
      <w:r>
        <w:rPr>
          <w:i/>
          <w:sz w:val="20"/>
        </w:rPr>
        <w:t>Sarbanes-Oxley Act</w:t>
      </w:r>
      <w:r>
        <w:rPr>
          <w:sz w:val="20"/>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(the “</w:t>
      </w:r>
      <w:r>
        <w:rPr>
          <w:b/>
          <w:sz w:val="20"/>
        </w:rPr>
        <w:t>Sarbanes-Oxley Act</w:t>
      </w:r>
      <w:r>
        <w:rPr>
          <w:sz w:val="20"/>
        </w:rPr>
        <w:t>”), including Section 402 related to loans.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(vv)            </w:t>
      </w:r>
      <w:r>
        <w:rPr>
          <w:i/>
          <w:sz w:val="20"/>
        </w:rPr>
        <w:t>Status under the Securities Act</w:t>
      </w:r>
      <w:r>
        <w:rPr>
          <w:sz w:val="20"/>
        </w:rPr>
        <w:t xml:space="preserve">. At the time of filing the Registration Statement and any post-effective amendment thereto, at the earliest time thereafter that the Company or any offering participant made a </w:t>
      </w:r>
      <w:r>
        <w:rPr>
          <w:i/>
          <w:sz w:val="20"/>
        </w:rPr>
        <w:t>bona fide</w:t>
      </w:r>
      <w:r>
        <w:rPr>
          <w:sz w:val="20"/>
        </w:rPr>
        <w:t xml:space="preserve"> offer (within the meaning of Rule 164(h)(2) under the Securities Act) of the Securities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 and any Additional Closing Date.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(ww)         </w:t>
      </w:r>
      <w:r>
        <w:rPr>
          <w:i/>
          <w:sz w:val="20"/>
        </w:rPr>
        <w:t>No Ratings</w:t>
      </w:r>
      <w:r>
        <w:rPr>
          <w:sz w:val="20"/>
        </w:rPr>
        <w:t>. There are (and prior to the Closing Date and any Additional Closing Date, will be) no debt securities, convertible securities or preferred share issued or guaranteed by the Company that are rated by a “nationally recognized statistical rating organization,” as such term is defined in Section 3(a)(62) of the Exchange Act.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(xx)            </w:t>
      </w:r>
      <w:r>
        <w:rPr>
          <w:i/>
          <w:sz w:val="20"/>
        </w:rPr>
        <w:t>No Outstanding Loans or Other Extensions of Credit</w:t>
      </w:r>
      <w:r>
        <w:rPr>
          <w:sz w:val="20"/>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(yy)            </w:t>
      </w:r>
      <w:r>
        <w:rPr>
          <w:i/>
          <w:sz w:val="20"/>
        </w:rPr>
        <w:t>Cybersecurity</w:t>
      </w:r>
      <w:r>
        <w:rPr>
          <w:sz w:val="20"/>
        </w:rPr>
        <w:t>. The Company’s and its subsidiaries’ information technology assets and equipment, computers, systems, networks, hardware, software, websites, applications, and databases (collectively, “</w:t>
      </w:r>
      <w:r>
        <w:rPr>
          <w:b/>
          <w:sz w:val="20"/>
        </w:rPr>
        <w:t>IT Systems</w:t>
      </w:r>
      <w:r>
        <w:rPr>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b/>
          <w:sz w:val="20"/>
        </w:rPr>
        <w:t>Personal Data</w:t>
      </w:r>
      <w:r>
        <w:rPr>
          <w:sz w:val="20"/>
        </w:rPr>
        <w:t>”), used in connection with their businesses.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(zz)             </w:t>
      </w:r>
      <w:r>
        <w:rPr>
          <w:i/>
          <w:sz w:val="20"/>
        </w:rPr>
        <w:t>Dividend Restrictions</w:t>
      </w:r>
      <w:r>
        <w:rPr>
          <w:sz w:val="20"/>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(aaa)          </w:t>
      </w:r>
      <w:r>
        <w:rPr>
          <w:i/>
          <w:sz w:val="20"/>
        </w:rPr>
        <w:t>Outbound Investment Security Program</w:t>
      </w:r>
      <w:r>
        <w:rPr>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b/>
          <w:sz w:val="20"/>
        </w:rPr>
        <w:t>Covered Activity</w:t>
      </w:r>
      <w:r>
        <w:rPr>
          <w:sz w:val="20"/>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(bbb)        </w:t>
      </w:r>
      <w:r>
        <w:rPr>
          <w:i/>
          <w:sz w:val="20"/>
        </w:rPr>
        <w:t>Immunity from Jurisdiction</w:t>
      </w:r>
      <w:r>
        <w:rPr>
          <w:sz w:val="20"/>
        </w:rPr>
        <w:t>. 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Canada and the laws of the Province of British Columbia. The irrevocable and unconditional waiver and agreement of the Company contained in this Agreement not to plead or claim any such immunity in any legal action, suit or proceeding based on this Agreement is valid and binding under the laws of Canada and the laws of the Province of British Columbia. The choice of the law of the State of New York as the governing law of this Agreement is a valid choice of law under the laws of Canada, and the Company is not aware of any basis for avoiding the choice on the grounds of British Columbia public policy, as that term is understood under the laws of the Province of British Columbia and the laws of Canada applicable therein. The Company has the power to submit, and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any such court.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(ccc)          </w:t>
      </w:r>
      <w:r>
        <w:rPr>
          <w:i/>
          <w:sz w:val="20"/>
        </w:rPr>
        <w:t>Withholding Taxes</w:t>
      </w:r>
      <w:r>
        <w:rPr>
          <w:sz w:val="20"/>
        </w:rPr>
        <w:t>. No withholding tax imposed under the federal laws of Canada will be payable in respect of any commission or fee to be paid by the Company pursuant to this Agreement to the Underwriters that are “non-residents” within the meaning of the Income Tax Act (Canada), provided any such commission or fee is payable in respect of services rendered by such Underwriters, wholly outside of Canada and are performed in the ordinary course of business carried on by the Underwriters that includes the performance of such services for a fee and such Underwriters deal at arm’s length with the Company within the meaning of the Income Tax Act (Canada) and any such amount is reasonable in the circumstances.</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Any certificate signed by any officer of the Company or any of its subsidiaries and delivered to any Underwriter or to counsel for the Underwriters in connection with the public offering, or the purchase and sale, of the Securities shall be deemed a representation and warranty by the Company to each Underwriter as to the matters covered thereby.</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rPr>
        <w:t xml:space="preserve">4.                   </w:t>
      </w:r>
      <w:r>
        <w:rPr>
          <w:sz w:val="20"/>
          <w:u w:val="single"/>
        </w:rPr>
        <w:t>Further Agreements of the Company</w:t>
      </w:r>
      <w:r>
        <w:rPr>
          <w:sz w:val="20"/>
        </w:rPr>
        <w:t>. The Company covenants and agrees with the several Underwriters that: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i/>
          <w:sz w:val="20"/>
        </w:rPr>
        <w:t>Required Filings.</w:t>
      </w:r>
      <w:r>
        <w:rPr>
          <w:sz w:val="20"/>
        </w:rPr>
        <w:t xml:space="preserve"> The Company will file the final Prospectus with the Commission within the time periods specified by Rule 424(b) and Rule 430B under the Securities Act, will file any Issuer Free Writing Prospectus to the extent required by Rule 433 under the Securities Act; and will furnish copies of the Prospectus and each Issuer Free Writing Prospectus (to the extent not previously delivered) to the Representative in New York City prior to 10:00 A.M., New York City time, on the business day next succeeding the date of this Agreement in such quantities as the Representative may reasonably request.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                </w:t>
      </w:r>
      <w:r>
        <w:rPr>
          <w:i/>
          <w:sz w:val="20"/>
        </w:rPr>
        <w:t>Delivery of Copies.</w:t>
      </w:r>
      <w:r>
        <w:rPr>
          <w:sz w:val="20"/>
        </w:rPr>
        <w:t xml:space="preserve"> The Company will deliver, without charge, (i) to the Representative, four signed copies of the Registration Statement as originally filed and each amendment thereto, in each case including all exhibits and consents filed therewith or incorporated by reference therein and documents incorporated or deemed to be incorporated by reference therein; and (ii) to the Representative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the Underwriters or dealer.</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i/>
          <w:sz w:val="20"/>
        </w:rPr>
        <w:t>Amendments or Supplements, Issuer Free Writing Prospectuses.</w:t>
      </w:r>
      <w:r>
        <w:rPr>
          <w:sz w:val="20"/>
        </w:rPr>
        <w:t xml:space="preserve"> Before preparing, using, authorizing, approving, referring to or filing any Issuer Free Writing Prospectus, and before filing any amendment or supplement to the Registration Statement, the Pricing Disclosure Package or the Prospectus, the Company will furnish to the Representative and counsel for the Underwriters a copy of the proposed Issuer Free Writing Prospectus, amendment or supplement for review and will not prepare, use, authorize, approve, refer to or file any such Issuer Free Writing Prospectus or file any such proposed amendment or supplement to which the Representative reasonably objects.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(d)                </w:t>
      </w:r>
      <w:r>
        <w:rPr>
          <w:i/>
          <w:sz w:val="20"/>
        </w:rPr>
        <w:t>Notice to the Representative.</w:t>
      </w:r>
      <w:r>
        <w:rPr>
          <w:sz w:val="20"/>
        </w:rPr>
        <w:t xml:space="preserve"> The Company will advise the Representative promptly, and confirm such advice in writing, (i) when any amendment to the Registration Statement has been filed or becomes effective; (ii) when any supplement to the Pricing Disclosure Package, the Prospectus, any Issuer Free Writing Prospectus, any amendment to the Prospectus has been filed or distributed; (iii) of any request by the Commission for any amendment to the Registration Statement or any amendment or supplement to the Prospectus, including any document incorporated by reference therein,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the initiation or, to the knowledge of the Company, threatening of any proceeding for that purpose or pursuant to Section 8A of the Securities Act;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br/>
        <w:t>(v) of the occurrence of any event or development within the Prospectus Delivery Period as a result of which the Prospectus,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delivered to a purchaser, not misleading; and (vi) of the receipt by the Company of any notice with respect to any suspension of the qualification of the Securities for offer and sale in any jurisdiction or the initiation or, to the knowledge of the Company, threatening of any proceeding for such purpose; and the Company will use its best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obtain as soon as possible the withdrawal thereof.</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(e)                </w:t>
      </w:r>
      <w:r>
        <w:rPr>
          <w:i/>
          <w:sz w:val="20"/>
        </w:rPr>
        <w:t>Ongoing Compliance.</w:t>
      </w:r>
      <w:r>
        <w:rPr>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Representative thereof and forthwith prepare and, subject to paragraph (c) above, file with the Commission and furnish to the Representative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and any Additional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Representative thereof and forthwith prepare and, subject to paragraph (c) above, file with the Commission (to the extent required) and furnish to the Representative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(f)                 </w:t>
      </w:r>
      <w:r>
        <w:rPr>
          <w:i/>
          <w:sz w:val="20"/>
        </w:rPr>
        <w:t>Blue Sky Compliance.</w:t>
      </w:r>
      <w:r>
        <w:rPr>
          <w:sz w:val="20"/>
        </w:rPr>
        <w:t xml:space="preserve"> The Company will qualify the Securities for offer and sale under the securities or Blue Sky laws of such jurisdictions as the Representative shall reasonably request and will continue such qualifications in effect so long as required for distribution of the Securities; </w:t>
      </w:r>
      <w:r>
        <w:rPr>
          <w:sz w:val="20"/>
          <w:u w:val="single"/>
        </w:rPr>
        <w:t>provided</w:t>
      </w:r>
      <w:r>
        <w:rPr>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(g)                </w:t>
      </w:r>
      <w:r>
        <w:rPr>
          <w:i/>
          <w:sz w:val="20"/>
        </w:rPr>
        <w:t xml:space="preserve">Earnings Statement. </w:t>
      </w:r>
      <w:r>
        <w:rPr>
          <w:sz w:val="20"/>
        </w:rPr>
        <w:t xml:space="preserve">The Company will make generally available to its securityholders and the Underwriters as soon as practicable an earnings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sz w:val="20"/>
          <w:u w:val="single"/>
        </w:rPr>
        <w:t>provided</w:t>
      </w:r>
      <w:r>
        <w:rPr>
          <w:sz w:val="20"/>
        </w:rPr>
        <w:t xml:space="preserve"> that the Company will be deemed to have furnished such statements to its securityholders and the Underwriters to the extent they are filed on the Commission’s Electronic Data Gathering, Analysis and Retrieval system.</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(h)                </w:t>
      </w:r>
      <w:r>
        <w:rPr>
          <w:i/>
          <w:sz w:val="20"/>
        </w:rPr>
        <w:t>Clear Market.</w:t>
      </w:r>
      <w:r>
        <w:rPr>
          <w:sz w:val="20"/>
        </w:rPr>
        <w:t xml:space="preserve"> For a period of 90 days after the date of the Prospectus (the “</w:t>
      </w:r>
      <w:r>
        <w:rPr>
          <w:b/>
          <w:sz w:val="20"/>
        </w:rPr>
        <w:t>Restricted Period</w:t>
      </w:r>
      <w:r>
        <w:rPr>
          <w:sz w:val="20"/>
        </w:rPr>
        <w:t>”), the Company will not, without the prior written consent of the Representative, (i) offer, pledge, sell, contract to sell, sell any option or contract to purchase, purchase any option or contract to sell, grant any option, right or warrant to purchase, or otherwise transfer or dispose of, directly or indirectly, or file with, or submit to, the Commission a registration statement under the Securities Act relating to, any Common Shares or any securities convertible into or exercisable or exchangeable for Common Shares, (ii) enter into any swap, hedging or other agreement that transfers, in whole or in part, any of the economic consequences of ownership of the Common Shares or any such other securities, whether any such transaction described in clause (i) or (ii) above is to be settled by delivery of Common Shares or such other securities, in cash or otherwise, (iii) effect a reverse share split, recapitalization, share consolidation, reclassification or similar transaction affecting the outstanding Common Shares or (iv) publicly disclose the intention to do any of the foregoing, other than (A) the Securities to be sold hereunder, (B) any Common Shares issued upon the exercise of options or the vesting or settlement of restricted share units granted under Company Share Plans as described in the Registration Statement, the Pricing Disclosure Package and the Prospectus, (C) any Common Shares issued upon the exercise of warrants or conversion of preferred shares outstanding on the date of this Agreement and as described in the Registration Statement, the Pricing Disclosure Package and the Prospectus, (D) any options and other awards granted under a Company Share Plan described in the Registration Statement, the Pricing Disclosure Package and the Prospectus and (E) the filing by the Company of any registration statement on Form S-8 or a successor form thereto relating to a Company Share Plan described in the Registration Statement, the Pricing Disclosure Package and the Prospectus.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(i)                 </w:t>
      </w:r>
      <w:r>
        <w:rPr>
          <w:i/>
          <w:sz w:val="20"/>
        </w:rPr>
        <w:t>Use of Proceeds.</w:t>
      </w:r>
      <w:r>
        <w:rPr>
          <w:sz w:val="20"/>
        </w:rPr>
        <w:t xml:space="preserve"> The Company will apply the net proceeds from the sale of the Securities as described in each of the Registration Statement, the Pricing Disclosure Package and the Prospectus under the heading “Use of Proceeds.”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(j)                 </w:t>
      </w:r>
      <w:r>
        <w:rPr>
          <w:i/>
          <w:sz w:val="20"/>
        </w:rPr>
        <w:t>No Stabilization.</w:t>
      </w:r>
      <w:r>
        <w:rPr>
          <w:sz w:val="20"/>
        </w:rPr>
        <w:t xml:space="preserve"> Neither the Company nor its affiliates will take, </w:t>
      </w:r>
      <w:r>
        <w:rPr>
          <w:spacing w:val="-3"/>
          <w:sz w:val="20"/>
        </w:rPr>
        <w:t xml:space="preserve">directly or indirectly, without giving effect to the activities by the Underwriters, any action designed to or that could reasonably be expected to cause or result in any stabilization or manipulation of the price of the </w:t>
      </w:r>
      <w:r>
        <w:rPr>
          <w:sz w:val="20"/>
        </w:rPr>
        <w:t>Common Shares</w:t>
      </w:r>
      <w:r>
        <w:rPr>
          <w:spacing w:val="-3"/>
          <w:sz w:val="20"/>
        </w:rPr>
        <w: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(k)                </w:t>
      </w:r>
      <w:r>
        <w:rPr>
          <w:i/>
          <w:sz w:val="20"/>
        </w:rPr>
        <w:t>Exchange Listing.</w:t>
      </w:r>
      <w:r>
        <w:rPr>
          <w:sz w:val="20"/>
        </w:rPr>
        <w:t xml:space="preserve"> The Company will use its reasonable best efforts to list, subject to notice of issuance, the Shares and Warrant Shares on the Nasdaq Capital Market.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(l)                 </w:t>
      </w:r>
      <w:r>
        <w:rPr>
          <w:i/>
          <w:sz w:val="20"/>
        </w:rPr>
        <w:t>Reports.</w:t>
      </w:r>
      <w:r>
        <w:rPr>
          <w:sz w:val="20"/>
        </w:rPr>
        <w:t xml:space="preserve"> During a period of three years from the date of this Agreement, the Company will furnish to the 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sz w:val="20"/>
          <w:u w:val="single"/>
        </w:rPr>
        <w:t>provided</w:t>
      </w:r>
      <w:r>
        <w:rPr>
          <w:sz w:val="20"/>
        </w:rPr>
        <w:t xml:space="preserve"> the Company will be deemed to have furnished such reports and financial statements to the Representative to the extent they are filed on the Commission’s Electronic Data Gathering, Analysis, and Retrieval system.</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(m)              </w:t>
      </w:r>
      <w:r>
        <w:rPr>
          <w:i/>
          <w:sz w:val="20"/>
        </w:rPr>
        <w:t>Record Retention</w:t>
      </w:r>
      <w:r>
        <w:rPr>
          <w:sz w:val="20"/>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(n)                </w:t>
      </w:r>
      <w:r>
        <w:rPr>
          <w:i/>
          <w:sz w:val="20"/>
        </w:rPr>
        <w:t>Registration Statement of Warrant Shares.</w:t>
      </w:r>
      <w:r>
        <w:rPr>
          <w:sz w:val="20"/>
        </w:rPr>
        <w:t xml:space="preserve"> The Company shall, at all times while any Warrants are outstanding, use its commercially reasonable best efforts to maintain a registration statement covering the issue and sale of the Warrant Shares issuable upon exercise of the Warrants such that the Warrant Shares, when issued, will not be subject to resale restrictions under the Securities Act except to the extent that the Warrant Shares are owned by affiliates. The Company shall, at all times while any Warrants are outstanding, reserve and keep available out of the aggregate of its authorized but unissued and otherwise unreserved Common Shares, solely for the purpose of enabling it to issue Warrant Shares upon exercise of such Warrants the number of Warrant Shares that are initially issuable and deliverable upon the exercise of the then-outstanding Warrants.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(o)                </w:t>
      </w:r>
      <w:r>
        <w:rPr>
          <w:i/>
          <w:sz w:val="20"/>
        </w:rPr>
        <w:t>FINRA Matters</w:t>
      </w:r>
      <w:r>
        <w:rPr>
          <w:sz w:val="20"/>
        </w:rPr>
        <w:t>. All of the information provided to the Underwriters or to counsel for the Underwriters by the Company, its counsel, its officers and directors and the holders of any securities (debt or equity) or options to acquire any securities of the Company in connection with the public offering of the Securities is true, complete, correct and compliant with FINRA’s rules and any letters, filings or other supplemental information provided to FINRA pursuant to FINRA Rules or NASD Conduct Rules is true, complete and correct.</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(p)                </w:t>
      </w:r>
      <w:r>
        <w:rPr>
          <w:i/>
          <w:sz w:val="20"/>
        </w:rPr>
        <w:t>Parties to Lock-up Agreements</w:t>
      </w:r>
      <w:r>
        <w:rPr>
          <w:sz w:val="20"/>
        </w:rPr>
        <w:t xml:space="preserve">. The Company has furnished to the Underwriters a letter agreement in the form attached hereto as </w:t>
      </w:r>
      <w:r>
        <w:rPr>
          <w:sz w:val="20"/>
          <w:u w:val="single"/>
        </w:rPr>
        <w:t>Exhibit C</w:t>
      </w:r>
      <w:r>
        <w:rPr>
          <w:sz w:val="20"/>
        </w:rPr>
        <w:t xml:space="preserve"> (the “</w:t>
      </w:r>
      <w:r>
        <w:rPr>
          <w:b/>
          <w:sz w:val="20"/>
        </w:rPr>
        <w:t>Lock-up Agreement</w:t>
      </w:r>
      <w:r>
        <w:rPr>
          <w:sz w:val="20"/>
        </w:rPr>
        <w:t>”) from each of the directors and officers of the Company. If any additional persons shall become directors or executive officers of the Company prior to the end of the Restricted Period, the Company shall cause each such person, prior to or contemporaneously with their appointment or election as a director or executive officer of the Company, to execute and deliver to the Representative a Lock-up Agreement.</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rPr>
        <w:t xml:space="preserve">5.                   </w:t>
      </w:r>
      <w:r>
        <w:rPr>
          <w:sz w:val="20"/>
          <w:u w:val="single"/>
        </w:rPr>
        <w:t>Certain Agreements of the Underwriters</w:t>
      </w:r>
      <w:r>
        <w:rPr>
          <w:sz w:val="20"/>
        </w:rPr>
        <w:t>.</w:t>
        <w:tab/>
        <w:t xml:space="preserve"> Each Underwriter, severally and not jointly, hereby represents and agrees that: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(a)                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if any, or a previously filed Issuer Free Writing Prospectus, (ii) any Issuer Free Writing Prospectus listed on Annex A(a) or prepared pursuant to Section 3(c) or Section 4(c) above (including any electronic road show), or (iii) any free writing prospectus prepared by such Underwriter and approved by the Company in advance in writing.</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                It has not and will not, without the prior written consent of the Company, use any free writing prospectus that contains the final terms of the Securities unless such terms have previously been included in a free writing prospectus filed with the Commission; </w:t>
      </w:r>
      <w:r>
        <w:rPr>
          <w:sz w:val="20"/>
          <w:u w:val="single"/>
        </w:rPr>
        <w:t>provided</w:t>
      </w:r>
      <w:r>
        <w:rPr>
          <w:sz w:val="20"/>
        </w:rPr>
        <w:t xml:space="preserve"> that the Representative may use a term sheet substantially in the form of Annex B hereto without the consent of the Company; </w:t>
      </w:r>
      <w:r>
        <w:rPr>
          <w:sz w:val="20"/>
          <w:u w:val="single"/>
        </w:rPr>
        <w:t>provided further</w:t>
      </w:r>
      <w:r>
        <w:rPr>
          <w:sz w:val="20"/>
        </w:rPr>
        <w:t xml:space="preserve"> that if the Representative uses such term sheet, it shall notify the Company and provide a copy of such term sheet to the Company, prior to, or substantially concurrently with, the first use of such term sheet.</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(c)                It is not subject to any pending proceeding under Section 8A of the Securities Act with respect to the public offering (and will promptly notify the Company if any such proceeding against it is initiated during the Prospectus Delivery Period).</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rPr>
        <w:t xml:space="preserve">6.                   </w:t>
      </w:r>
      <w:r>
        <w:rPr>
          <w:sz w:val="20"/>
          <w:u w:val="single"/>
        </w:rPr>
        <w:t>Conditions of the Underwriters’ Obligations.</w:t>
      </w:r>
      <w:r>
        <w:rPr>
          <w:sz w:val="20"/>
        </w:rPr>
        <w:t xml:space="preserve"> The respective obligations of the Underwriters to purchase the Underwritten Shares, Pre-Funded Warrants and Underwritten Common Warrants on the Closing Date or the Option Shares and accompanying Option Common Warrants on any Additional Closing Date, as the case may be, as provided herein is subject to the performance by the Company of its covenants and other obligations hereunder and to the following additional conditions:</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 xml:space="preserve">(a)                </w:t>
      </w:r>
      <w:r>
        <w:rPr>
          <w:i/>
          <w:sz w:val="20"/>
        </w:rPr>
        <w:t>Registration Compliance; No Stop Order.</w:t>
      </w:r>
      <w:r>
        <w:rPr>
          <w:sz w:val="20"/>
        </w:rPr>
        <w:t xml:space="preserve"> 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(b)                </w:t>
      </w:r>
      <w:r>
        <w:rPr>
          <w:i/>
          <w:sz w:val="20"/>
        </w:rPr>
        <w:t>Representations and Warranties.</w:t>
      </w:r>
      <w:r>
        <w:rPr>
          <w:sz w:val="20"/>
        </w:rPr>
        <w:t xml:space="preserve"> The representations and warranties of the Company contained herein shall be true and correct on the date hereof and on and as of the Closing Date and any Additional Closing Date; and the statements of the Company and its officers made in any certificates delivered pursuant to this Agreement shall be true and correct on and as of the Closing Date and any Additional Closing Date.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(c)                </w:t>
      </w:r>
      <w:r>
        <w:rPr>
          <w:i/>
          <w:sz w:val="20"/>
        </w:rPr>
        <w:t>No Material Adverse Change.</w:t>
      </w:r>
      <w:r>
        <w:rPr>
          <w:sz w:val="20"/>
        </w:rPr>
        <w:t xml:space="preserve"> No event or condition of a type described in Section 3(f)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public offering, sale or delivery of the Securities on the Closing Date and any Additional Closing Date on the terms and in the manner contemplated by this Agreement, the Pricing Disclosure Package and the Prospectus.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(d)                </w:t>
      </w:r>
      <w:r>
        <w:rPr>
          <w:i/>
          <w:sz w:val="20"/>
        </w:rPr>
        <w:t>Officer’s Certificate.</w:t>
      </w:r>
      <w:r>
        <w:rPr>
          <w:sz w:val="20"/>
        </w:rPr>
        <w:t xml:space="preserve"> The Representative shall have received on and as of the Closing Date and any Additional Closing Date, a certificate of the chief financial officer or chief accounting officer of the Company and one additional senior executive officer of the Company who is reasonably satisfactory to the Representative, on behalf of the Company and not in their individual capacities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or Additional Closing Date, as the case may be, and (iii) to the effect set forth in paragraphs (a), (b) and (c) above.</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(e)                </w:t>
      </w:r>
      <w:r>
        <w:rPr>
          <w:i/>
          <w:sz w:val="20"/>
        </w:rPr>
        <w:t>Comfort Letters.</w:t>
      </w:r>
      <w:r>
        <w:rPr>
          <w:sz w:val="20"/>
        </w:rPr>
        <w:t xml:space="preserve"> On the date of this Agreement and on the Closing Date and any Additional Closing Date, MNP LLP shall have furnished to the Representative, at the request of the Company, letters, dated the respective dates of delivery thereof and addressed to the Representative, in form and substance reasonably satisfactory to the Representative,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w:t>
      </w:r>
      <w:r>
        <w:rPr>
          <w:sz w:val="20"/>
          <w:u w:val="single"/>
        </w:rPr>
        <w:t>provided</w:t>
      </w:r>
      <w:r>
        <w:rPr>
          <w:sz w:val="20"/>
        </w:rPr>
        <w:t>, that the letter delivered on the Closing Date and any Additional Closing Date, shall use a “cut-off” date reasonably acceptable to the Representative.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(f)                 </w:t>
      </w:r>
      <w:r>
        <w:rPr>
          <w:i/>
          <w:sz w:val="20"/>
        </w:rPr>
        <w:t>Opinion and Negative Assurance Letter of United States Counsel for the Company.</w:t>
      </w:r>
      <w:r>
        <w:rPr>
          <w:sz w:val="20"/>
        </w:rPr>
        <w:t xml:space="preserve"> Lowenstein Sandler LLP, United States counsel for the Company, shall have furnished to the Representative, at the request of the Company, their written opinion and negative assurance letter, dated the Closing Date or the Additional Closing Date, as applicable, and addressed to the Representative, in form and substance reasonably satisfactory to the Representative.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(g)                </w:t>
      </w:r>
      <w:r>
        <w:rPr>
          <w:i/>
          <w:sz w:val="20"/>
        </w:rPr>
        <w:t>Opinion of Canadian Local Counsel for the Company.</w:t>
      </w:r>
      <w:r>
        <w:rPr>
          <w:sz w:val="20"/>
        </w:rPr>
        <w:t xml:space="preserve"> Fasken Martineau DuMoulin, LLP, Canadian local counsel for the Company, shall have furnished to the Representative, at the request of the Company, their written opinion, dated the Closing Date or the Additional Closing Date, as applicable, and addressed to the Representative, in form and substance reasonably satisfactory to the Representative.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(h)                </w:t>
      </w:r>
      <w:r>
        <w:rPr>
          <w:i/>
          <w:sz w:val="20"/>
        </w:rPr>
        <w:t>Opinion of Intellectual Property Counsel for the Company</w:t>
      </w:r>
      <w:r>
        <w:rPr>
          <w:sz w:val="20"/>
        </w:rPr>
        <w:t>. Fenwick &amp; West LLP, intellectual property counsel for the Company, shall have furnished to the Representative, at the request of the Company, their written opinion, dated the Closing Date or the Additional Closing Date, as the case may be, and addressed to the Representative, in form and substance reasonably satisfactory to the Representative.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(i)                 </w:t>
      </w:r>
      <w:r>
        <w:rPr>
          <w:i/>
          <w:sz w:val="20"/>
        </w:rPr>
        <w:t>Opinion and Negative Assurance Letter of Counsel for the Underwriters.</w:t>
      </w:r>
      <w:r>
        <w:rPr>
          <w:sz w:val="20"/>
        </w:rPr>
        <w:t xml:space="preserve"> The Representative shall have received on and as of the Closing Date and any Additional Closing Date, for itself and on behalf of the several Underwriters, an opinion and negative assurance letter of Mintz, Levin, Cohn, Ferris, Glovsky and Popeo, P.C., counsel for the Underwriters, with respect to such matters as the Representative may reasonably request, and such counsel shall have received such documents and information as they may reasonably request to enable them to pass upon such matters.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(j)                 </w:t>
      </w:r>
      <w:r>
        <w:rPr>
          <w:i/>
          <w:sz w:val="20"/>
        </w:rPr>
        <w:t>No Legal Impediment to Issuance and Sale.</w:t>
      </w:r>
      <w:r>
        <w:rPr>
          <w:sz w:val="20"/>
        </w:rPr>
        <w:t xml:space="preserve"> No action shall have been taken and no statute, rule, regulation or order shall have been enacted, adopted or issued by any federal, state or foreign governmental or regulatory authority that would, as of the Closing Date or any Additional Closing Date, prevent the issuance or sale of the Securities; and no injunction or order of any federal, state or foreign court shall have been issued that would, as of the Closing Date or any Additional Closing Date, prevent the issuance or sale of the Securities.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(k)                </w:t>
      </w:r>
      <w:r>
        <w:rPr>
          <w:i/>
          <w:sz w:val="20"/>
        </w:rPr>
        <w:t>Good Standing</w:t>
      </w:r>
      <w:r>
        <w:rPr>
          <w:sz w:val="20"/>
        </w:rPr>
        <w:t>. The Representative shall have received on and as of the Closing Date and any Additional Closing Date satisfactory evidence of the good standing of the Company in its jurisdiction of organization and its good standing as foreign entities in such other jurisdictions as the Representative may reasonably request, in each case in writing or any standard form of telecommunication from the appropriate governmental authorities of such jurisdiction.</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(l)                 </w:t>
      </w:r>
      <w:r>
        <w:rPr>
          <w:i/>
          <w:sz w:val="20"/>
        </w:rPr>
        <w:t>Exchange Listing.</w:t>
      </w:r>
      <w:r>
        <w:rPr>
          <w:sz w:val="20"/>
        </w:rPr>
        <w:t xml:space="preserve"> The Securities to be delivered on the Closing Date and the Additional Closing Date, as applicable, shall have been approved for listing on the Nasdaq Capital Market, subject to official notice of issuance.</w:t>
      </w:r>
    </w:p>
    <w:p>
      <w:pPr>
        <w:pStyle w:val="TextBody"/>
        <w:bidi w:val="0"/>
        <w:spacing w:before="0" w:after="0"/>
        <w:ind w:left="72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sz w:val="20"/>
        </w:rPr>
      </w:pPr>
      <w:r>
        <w:rPr>
          <w:sz w:val="20"/>
        </w:rPr>
        <w:t xml:space="preserve">(m)              </w:t>
      </w:r>
      <w:r>
        <w:rPr>
          <w:i/>
          <w:sz w:val="20"/>
        </w:rPr>
        <w:t>Lock-up Agreements</w:t>
      </w:r>
      <w:r>
        <w:rPr>
          <w:sz w:val="20"/>
        </w:rPr>
        <w:t xml:space="preserve">. The Lock-up Agreements, each substantially in the form of </w:t>
      </w:r>
      <w:r>
        <w:rPr>
          <w:sz w:val="20"/>
          <w:u w:val="single"/>
        </w:rPr>
        <w:t>Exhibit C</w:t>
      </w:r>
      <w:r>
        <w:rPr>
          <w:sz w:val="20"/>
        </w:rPr>
        <w:t xml:space="preserve"> hereto, between you and all of the officers and directors of the Company relating to sales and certain other dispositions of Common Shares or certain other securities, delivered to you on or before the date hereof, shall be in full force and effect on the Closing Date and any Additional Closing Date.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(n)                </w:t>
      </w:r>
      <w:r>
        <w:rPr>
          <w:i/>
          <w:sz w:val="20"/>
        </w:rPr>
        <w:t>Certificate of Chief Financial Officer.</w:t>
      </w:r>
      <w:r>
        <w:rPr>
          <w:sz w:val="20"/>
        </w:rPr>
        <w:t xml:space="preserve"> The Representative shall have received on the date of this Agreement and as of the Closing Date and any Additional Closing Date, a certificate of the chief financial officer in form and substance reasonably satisfactory to the Representative and counsel for the Underwriters, with respect to certain financial information contained in the Registration Statement, the Pricing Disclosure Package, and the Prospectus.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(o)                </w:t>
      </w:r>
      <w:r>
        <w:rPr>
          <w:i/>
          <w:sz w:val="20"/>
        </w:rPr>
        <w:t>Form of Pre-Funded Warrants</w:t>
      </w:r>
      <w:r>
        <w:rPr>
          <w:sz w:val="20"/>
        </w:rPr>
        <w:t xml:space="preserve">. On or prior to the Closing Date, the Pre-Funded Warrants shall be delivered to those persons and entities as directed by the Representative in form and substance as set forth on </w:t>
      </w:r>
      <w:r>
        <w:rPr>
          <w:sz w:val="20"/>
          <w:u w:val="single"/>
        </w:rPr>
        <w:t>Exhibit A</w:t>
      </w:r>
      <w:r>
        <w:rPr>
          <w:sz w:val="20"/>
        </w:rPr>
        <w:t xml:space="preserve"> hereto dated as of such date.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(p)                </w:t>
      </w:r>
      <w:r>
        <w:rPr>
          <w:i/>
          <w:sz w:val="20"/>
        </w:rPr>
        <w:t>Form of Common Warrants</w:t>
      </w:r>
      <w:r>
        <w:rPr>
          <w:sz w:val="20"/>
        </w:rPr>
        <w:t xml:space="preserve">. On or prior to the Closing Date, the Common Warrants shall be delivered to those persons and entities as directed by the Representative in form and substance as set forth on </w:t>
      </w:r>
      <w:r>
        <w:rPr>
          <w:sz w:val="20"/>
          <w:u w:val="single"/>
        </w:rPr>
        <w:t>Exhibit B</w:t>
      </w:r>
      <w:r>
        <w:rPr>
          <w:sz w:val="20"/>
        </w:rPr>
        <w:t xml:space="preserve"> hereto dated as of such date.</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 xml:space="preserve">(q)                </w:t>
      </w:r>
      <w:r>
        <w:rPr>
          <w:i/>
          <w:sz w:val="20"/>
        </w:rPr>
        <w:t>Additional Documents.</w:t>
      </w:r>
      <w:r>
        <w:rPr>
          <w:sz w:val="20"/>
        </w:rPr>
        <w:t xml:space="preserve"> On or prior to the Closing Date and any Additional Closing Date, the Company shall have furnished to the Representative such further certificates and documents as the Representative may reasonably request.</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7.                   </w:t>
      </w:r>
      <w:r>
        <w:rPr>
          <w:sz w:val="20"/>
          <w:u w:val="single"/>
        </w:rPr>
        <w:t>Indemnification and Contribution</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(a)                </w:t>
      </w:r>
      <w:r>
        <w:rPr>
          <w:i/>
          <w:sz w:val="20"/>
        </w:rPr>
        <w:t>Indemnification of the Underwriters.</w:t>
      </w:r>
      <w:r>
        <w:rPr>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w:t>
      </w:r>
      <w:r>
        <w:rPr>
          <w:b/>
          <w:sz w:val="20"/>
        </w:rPr>
        <w:t>road show</w:t>
      </w:r>
      <w:r>
        <w:rPr>
          <w:sz w:val="20"/>
        </w:rPr>
        <w:t>”)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the Registration Statement (or any amendment thereto), including any information deemed to be a part thereof pursuant to Rule 430B, the Pricing Disclosure Package or the Prospectus (or any amendment or supplement thereto) in reliance upon and in conformity with any information relating to any Underwriter furnished to the Company in writing by the Representative on behalf of such Underwriter expressly for use therein, it being understood and agreed that the only such information furnished by the Representative consists of the information described as such in subsection (b) below.</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(b)                </w:t>
      </w:r>
      <w:r>
        <w:rPr>
          <w:i/>
          <w:sz w:val="20"/>
        </w:rPr>
        <w:t>Indemnification of the Company.</w:t>
      </w:r>
      <w:r>
        <w:rPr>
          <w:sz w:val="20"/>
        </w:rPr>
        <w:t xml:space="preserve"> Each Underwriter, severally and not jointly, agrees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any Underwriter furnished to the Company in writing by the Representative on behalf of such Underwriter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the Representative on behalf of the Underwriters consists of the following information in the Prospectus furnished on behalf of the Underwriters: the information contained in the first and second sentences in the fifth paragraph under the caption “Underwriting.”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(c)                </w:t>
      </w:r>
      <w:r>
        <w:rPr>
          <w:i/>
          <w:sz w:val="20"/>
        </w:rPr>
        <w:t>Notice and Procedures.</w:t>
      </w:r>
      <w:r>
        <w:rPr>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w:t>
      </w:r>
      <w:r>
        <w:rPr>
          <w:b/>
          <w:sz w:val="20"/>
        </w:rPr>
        <w:t>Indemnified Person</w:t>
      </w:r>
      <w:r>
        <w:rPr>
          <w:sz w:val="20"/>
        </w:rPr>
        <w:t>”) shall promptly notify the person against whom such indemnification may be sought (the “</w:t>
      </w:r>
      <w:r>
        <w:rPr>
          <w:b/>
          <w:sz w:val="20"/>
        </w:rPr>
        <w:t>Indemnifying Person</w:t>
      </w:r>
      <w:r>
        <w:rPr>
          <w:sz w:val="20"/>
        </w:rPr>
        <w:t xml:space="preserve">”) in writing; </w:t>
      </w:r>
      <w:r>
        <w:rPr>
          <w:spacing w:val="-3"/>
          <w:sz w:val="20"/>
          <w:u w:val="single"/>
        </w:rPr>
        <w:t>provided</w:t>
      </w:r>
      <w:r>
        <w:rPr>
          <w:spacing w:val="-3"/>
          <w:sz w:val="20"/>
        </w:rPr>
        <w:t xml:space="preserve"> that the failure to notify the Indemnifying Person shall not relieve it from any liability that it may have under the preceding </w:t>
      </w:r>
      <w:r>
        <w:rPr>
          <w:sz w:val="20"/>
        </w:rPr>
        <w:t xml:space="preserve">paragraphs of this Section 7 </w:t>
      </w:r>
      <w:r>
        <w:rPr>
          <w:spacing w:val="-3"/>
          <w:sz w:val="20"/>
        </w:rPr>
        <w:t xml:space="preserve">except to the extent that it has been materially prejudiced (through the forfeiture of substantive rights or defenses) by such failure; and </w:t>
      </w:r>
      <w:r>
        <w:rPr>
          <w:spacing w:val="-3"/>
          <w:sz w:val="20"/>
          <w:u w:val="single"/>
        </w:rPr>
        <w:t>provided</w:t>
      </w:r>
      <w:r>
        <w:rPr>
          <w:spacing w:val="-3"/>
          <w:sz w:val="20"/>
        </w:rPr>
        <w:t xml:space="preserve">, </w:t>
      </w:r>
      <w:r>
        <w:rPr>
          <w:spacing w:val="-3"/>
          <w:sz w:val="20"/>
          <w:u w:val="single"/>
        </w:rPr>
        <w:t>further</w:t>
      </w:r>
      <w:r>
        <w:rPr>
          <w:spacing w:val="-3"/>
          <w:sz w:val="20"/>
        </w:rPr>
        <w:t xml:space="preserve">, that the failure to notify the Indemnifying Person shall not relieve it from any liability that it may have to an Indemnified Person otherwise than under the preceding </w:t>
      </w:r>
      <w:r>
        <w:rPr>
          <w:sz w:val="20"/>
        </w:rPr>
        <w:t>paragraphs of this Section 7</w:t>
      </w:r>
      <w:r>
        <w:rPr>
          <w:spacing w:val="-3"/>
          <w:sz w:val="20"/>
        </w:rPr>
        <w:t>. If any such proceeding shall be brought or asserted against an Indemnified Person and it shall have notified the Indemnifying Person thereof, the Indemnifying Person</w:t>
      </w:r>
      <w:r>
        <w:rPr>
          <w:sz w:val="20"/>
        </w:rPr>
        <w:t xml:space="preserve">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fees and expenses shall be paid or reimbursed as they are incurred. Any such separate firm for the Underwriters, their affiliates, directors and officers and any control persons of the Underwriters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w:t>
      </w:r>
    </w:p>
    <w:p>
      <w:pPr>
        <w:pStyle w:val="TextBody"/>
        <w:bidi w:val="0"/>
        <w:spacing w:before="0" w:after="0"/>
        <w:ind w:left="0" w:right="0" w:firstLine="720"/>
        <w:jc w:val="both"/>
        <w:rPr/>
      </w:pPr>
      <w:r>
        <w:rPr/>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(d)                </w:t>
      </w:r>
      <w:r>
        <w:rPr>
          <w:i/>
          <w:sz w:val="20"/>
        </w:rPr>
        <w:t>Contribution.</w:t>
      </w:r>
      <w:r>
        <w:rPr>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public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(e)                </w:t>
      </w:r>
      <w:r>
        <w:rPr>
          <w:i/>
          <w:sz w:val="20"/>
        </w:rPr>
        <w:t>Limitation on Liability.</w:t>
      </w:r>
      <w:r>
        <w:rPr>
          <w:sz w:val="20"/>
        </w:rPr>
        <w:t xml:space="preserve"> The Company and the Underwriters agree that it would not be just and equitable if contribution pursuant to paragraph (d) above were determined by </w:t>
      </w:r>
      <w:r>
        <w:rPr>
          <w:sz w:val="20"/>
          <w:u w:val="single"/>
        </w:rPr>
        <w:t>pro rata</w:t>
      </w:r>
      <w:r>
        <w:rPr>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no Underwriter shall be required to contribute any amount in excess of the amount by which the total underwriting discounts and commissions received by such Underwriter with respect to the public offering of the Securities exceeds the amount of any damages that such Underwriter has otherwise been required to pay by reason of such untrue or alleged untrue statement or omission or alleged omission. The Underwriters’ obligations to contribute pursuant to this Section 7 are several, and not joint, in proportion to their respective underwriting commitments as set forth opposite their respective names in </w:t>
      </w:r>
      <w:r>
        <w:rPr>
          <w:sz w:val="20"/>
          <w:u w:val="single"/>
        </w:rPr>
        <w:t>Schedule 1</w:t>
      </w:r>
      <w:r>
        <w:rPr>
          <w:sz w:val="20"/>
        </w:rPr>
        <w:t xml:space="preserve"> hereto.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(f)                 </w:t>
      </w:r>
      <w:r>
        <w:rPr>
          <w:i/>
          <w:sz w:val="20"/>
        </w:rPr>
        <w:t>Non-Exclusive Remedies.</w:t>
      </w:r>
      <w:r>
        <w:rPr>
          <w:sz w:val="20"/>
        </w:rPr>
        <w:t xml:space="preserve"> The remedies provided for in this Section 7 are not exclusive and shall not limit any rights or remedies which may otherwise be available to any Indemnified Person at law or in equity.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8.                   </w:t>
      </w:r>
      <w:r>
        <w:rPr>
          <w:sz w:val="20"/>
          <w:u w:val="single"/>
        </w:rPr>
        <w:t>Effectiveness of Agreement</w:t>
      </w:r>
      <w:r>
        <w:rPr>
          <w:sz w:val="20"/>
        </w:rPr>
        <w:t>. This Agreement shall become effective as of the date first written above.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9.                   </w:t>
      </w:r>
      <w:r>
        <w:rPr>
          <w:sz w:val="20"/>
          <w:u w:val="single"/>
        </w:rPr>
        <w:t>Default of One or More of the Several Underwriters</w:t>
      </w:r>
      <w:r>
        <w:rPr>
          <w:sz w:val="20"/>
        </w:rPr>
        <w:t xml:space="preserve">. If, on the Closing Date or any Additional Closing Date, any one or more of the several Underwriters shall fail or refuse to purchase Securities that it or they have agreed to purchase hereunder on such date, and the aggregate number of Securities which such defaulting Underwriter or Underwriters agreed but failed or refused to purchase does not exceed 10% of the aggregate number of the Securities to be purchased on such date, the Representative may make arrangements satisfactory to the Company for the purchase of such Securities by other persons, including any of the Underwriters, but if no such arrangements are made by such date, the other Underwriters shall be obligated, severally and not jointly, in the proportions that the number of Underwritten Shares, the Pre-Funded Warrants, and the Underwritten Common Warrants set forth opposite their respective names on </w:t>
      </w:r>
      <w:r>
        <w:rPr>
          <w:sz w:val="20"/>
          <w:u w:val="single"/>
        </w:rPr>
        <w:t>Schedule 1</w:t>
      </w:r>
      <w:r>
        <w:rPr>
          <w:sz w:val="20"/>
        </w:rPr>
        <w:t xml:space="preserve"> bears to the aggregate number of Underwritten Shares, the Pre-Funded Warrants, and the Underwritten Common Warrants set forth opposite the names of all such non-defaulting Underwriters, or in such other proportions as may be specified by the Representative with the consent of the non-defaulting Underwriters, to purchase the Securities which such defaulting Underwriter or Underwriters agreed but failed or refused to purchase on such date. If, on the Closing Date or any Additional Closing Date, any one or more of the Underwriters shall fail or refuse to purchase Securities and the aggregate number of Securities with respect to which such default occurs exceeds 10% of the aggregate number of Securities to be purchased on such date, and arrangements satisfactory to the Representative and the Company for the purchase of such Securities are not made within 48 hours after such default, this Agreement shall terminate without liability of any party to any other party except that the provisions of Section 7 and Section 10 shall at all times be effective and shall survive such termination. In any such case, either the Representative or the Company shall have the right to postpone the Closing Date or the applicable Additional Closing Date, as the case may be, but in no event for longer than seven days in order that the required changes, if any, to the Registration Statement and the Prospectus or any other documents or arrangements may be effected. As used in this Agreement, the term “Underwriter” shall be deemed to include any person substituted for a defaulting Underwriter under this Section. Any action taken under this Section shall not relieve any defaulting Underwriter from liability in respect of any default of such Underwriter under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10.               </w:t>
      </w:r>
      <w:r>
        <w:rPr>
          <w:sz w:val="20"/>
          <w:u w:val="single"/>
        </w:rPr>
        <w:t>Termination</w:t>
      </w:r>
      <w:r>
        <w:rPr>
          <w:sz w:val="20"/>
        </w:rPr>
        <w:t>. This Agreement may be terminated in the absolute discretion of the Representative, by notice to the Company, if after the execution and delivery of this Agreement and on or prior to the Closing Date or, in the case of the Option Shares and accompanying Option Common Warrants, on or prior to the Additional Closing Date: (i) any domestic or international event or act or occurrence has materially disrupted, or in the opinion of the Representative will in the immediate future materially disrupt, the market for the Company’s securities or securities in general; (ii) trading generally shall have been suspended or materially limited on or by any of the New York Stock Exchange or The Nasdaq Stock Market LLC; (iii) trading of any securities issued or guaranteed by the Company shall have been suspended on any exchange or in any over-the-counter market; (iv) a general moratorium on commercial banking activities shall have been declared by federal or New York State authorities; (v) (A) there shall have occurred any outbreak or escalation of hostilities or acts of terrorism involving the United States or there is a declaration of a national emergency or war by the United States or (B) there shall have been any other calamity or crisis or any change in political, financial or economic conditions if the effect of any such event in (A) or (B), in the judgment of the Representative, makes it impracticable or inadvisable to proceed with the public offering, sale or delivery of the Securities on the Closing Date, on the terms and in the manner contemplated by this Agreement, the Pricing Disclosure Package and the Prospectus; or (vi) any of the events described in Section 3(f) shall have occurred or any Underwriter shall decline to purchase the Securities for any reason permitted under this Agreement.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11.               </w:t>
      </w:r>
      <w:r>
        <w:rPr>
          <w:sz w:val="20"/>
          <w:u w:val="single"/>
        </w:rPr>
        <w:t>Payment of Expenses; Solicitation Fee of the Exercise of the Common Warrants</w:t>
      </w:r>
      <w:r>
        <w:rPr>
          <w:i/>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w:t>
      </w:r>
      <w:r>
        <w:rPr>
          <w:spacing w:val="-3"/>
          <w:sz w:val="20"/>
        </w:rPr>
        <w:t xml:space="preserve">(i) the costs incident to the authorization, issuance, sale, preparation and delivery of the Securities and any stamp or transfer taxes payable in that connection; (ii) the costs incident to the </w:t>
      </w:r>
      <w:r>
        <w:rPr>
          <w:sz w:val="20"/>
        </w:rPr>
        <w:t xml:space="preserve">preparation, printing and filing under the Securities Act of the Registration Statement, any preliminary prospectus, any Issuer Free Writing Prospectus, any Pricing Disclosure Package and the Prospectus (including all exhibits, amendments and supplements thereto) </w:t>
      </w:r>
      <w:r>
        <w:rPr>
          <w:spacing w:val="-3"/>
          <w:sz w:val="20"/>
        </w:rPr>
        <w:t xml:space="preserve">and the distribution thereof; (iii) the fees and expenses of the Company’s counsel and independent accountants; (iv) the fees and expenses </w:t>
      </w:r>
      <w:r>
        <w:rPr>
          <w:sz w:val="20"/>
        </w:rPr>
        <w:t xml:space="preserve">incurred in connection with the registration or qualification and determination of eligibility for investment of the Securities under the state or foreign securities or blue sky laws of such jurisdictions as the Representative may designate </w:t>
      </w:r>
      <w:r>
        <w:rPr>
          <w:spacing w:val="-3"/>
          <w:sz w:val="20"/>
        </w:rPr>
        <w:t>and the preparation, printing and distribution of a Blue Sky Memorandum and any “Canadian wrapper”</w:t>
      </w:r>
      <w:r>
        <w:rPr>
          <w:sz w:val="20"/>
        </w:rPr>
        <w:t xml:space="preserve"> (including the related documented fees and expenses of counsel for the Underwriters in an amount not to exceed $5,000 (excluding filing fees));</w:t>
      </w:r>
      <w:r>
        <w:rPr>
          <w:spacing w:val="-3"/>
          <w:sz w:val="20"/>
        </w:rPr>
        <w:t xml:space="preserve"> (v) the cost of preparing share certificates; (vi) the costs and charges of any transfer agent, warrant agent, and any registrar; (vii) all expenses and application fees incurred in connection with any filing with, and clearance of the </w:t>
      </w:r>
      <w:r>
        <w:rPr>
          <w:sz w:val="20"/>
        </w:rPr>
        <w:t xml:space="preserve">public </w:t>
      </w:r>
      <w:r>
        <w:rPr>
          <w:spacing w:val="-3"/>
          <w:sz w:val="20"/>
        </w:rPr>
        <w:t xml:space="preserve">offering by, FINRA, </w:t>
      </w:r>
      <w:r>
        <w:rPr>
          <w:spacing w:val="-3"/>
          <w:sz w:val="20"/>
          <w:u w:val="single"/>
        </w:rPr>
        <w:t>provided</w:t>
      </w:r>
      <w:r>
        <w:rPr>
          <w:spacing w:val="-3"/>
          <w:sz w:val="20"/>
        </w:rPr>
        <w:t xml:space="preserve"> that the aggregate amount payable by the Company pursuant to clauses (iv) and (vii) shall not</w:t>
      </w:r>
      <w:r>
        <w:rPr>
          <w:sz w:val="20"/>
        </w:rPr>
        <w:t xml:space="preserve"> exceed $20,000 (excluding filing fees); and (viii) all expenses incurred by the Company in connection with any “road show” presentation to potential investors (</w:t>
      </w:r>
      <w:r>
        <w:rPr>
          <w:sz w:val="20"/>
          <w:u w:val="single"/>
        </w:rPr>
        <w:t>provided</w:t>
      </w:r>
      <w:r>
        <w:rPr>
          <w:sz w:val="20"/>
        </w:rPr>
        <w:t xml:space="preserve">, </w:t>
      </w:r>
      <w:r>
        <w:rPr>
          <w:sz w:val="20"/>
          <w:u w:val="single"/>
        </w:rPr>
        <w:t>however</w:t>
      </w:r>
      <w:r>
        <w:rPr>
          <w:sz w:val="20"/>
        </w:rPr>
        <w:t xml:space="preserve">, that the Underwriters and the Company shall each pay 50% of the cost of chartering any aircraft to be used in connection with the road show by both the Company and the Underwriters, and all lodging, commercial airfare and individual expenses of the Underwriters shall be the responsibility of the Underwriters); (ix) </w:t>
      </w:r>
      <w:r>
        <w:rPr>
          <w:spacing w:val="-3"/>
          <w:sz w:val="20"/>
        </w:rPr>
        <w:t xml:space="preserve">all expenses and application fees </w:t>
      </w:r>
      <w:r>
        <w:rPr>
          <w:sz w:val="20"/>
        </w:rPr>
        <w:t xml:space="preserve">related to the listing of the Securities on the Nasdaq Capital Market and (x) all reasonable fees and expenses incurred by the Underwriters in connection with the issuance of the Securities such as fees and disbursements of counsel and out-of-pocket expenses related to the issuance of the Securities; </w:t>
      </w:r>
      <w:r>
        <w:rPr>
          <w:sz w:val="20"/>
          <w:u w:val="single"/>
        </w:rPr>
        <w:t>provided</w:t>
      </w:r>
      <w:r>
        <w:rPr>
          <w:sz w:val="20"/>
        </w:rPr>
        <w:t xml:space="preserve"> that the expense reimbursement payable to the Underwriters under this paragraph shall not exceed $150,000 in aggregate without the Company’s consent and shall be invoiced in reasonable detail.</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(b)                If (i) this Agreement is terminated pursuant to Section 10, (ii) the Company for any reason fails to tender the Securities for delivery to the Underwriters or (iii) any Underwriter declines to purchase the Securities for any reason permitted under this Agreement, the Company agrees to reimburse the Representative and the other Underwriters (or such Underwriters as have terminated this Agreement with respect to themselves), severally, for all out-of-pocket costs and expenses (including the fees and expenses of their counsel) reasonably incurred by the Representative and the Underwriters in connection with this Agreement and the public offering contemplated hereby; </w:t>
      </w:r>
      <w:r>
        <w:rPr>
          <w:sz w:val="20"/>
          <w:u w:val="single"/>
        </w:rPr>
        <w:t>provided</w:t>
      </w:r>
      <w:r>
        <w:rPr>
          <w:sz w:val="20"/>
        </w:rPr>
        <w:t xml:space="preserve">, </w:t>
      </w:r>
      <w:r>
        <w:rPr>
          <w:sz w:val="20"/>
          <w:u w:val="single"/>
        </w:rPr>
        <w:t>however</w:t>
      </w:r>
      <w:r>
        <w:rPr>
          <w:sz w:val="20"/>
        </w:rPr>
        <w:t>, that no additional amounts beyond what has been reimbursed pursuant to the foregoing will be owed to the Underwriters other than under Section 7 hereof. For the avoidance of doubt, it is understood that the Company shall not pay or reimburse any costs, fees or expenses incurred by an Underwriter if it defaults on its obligations to purchase the Securities.</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(c)                The Company hereby engages the Representative as its exclusive agent for the solicitation of the exercise of the Common Warrants. The Company will (i) assist the Representative with respect to the solicitation, if requested by the Representative, and (ii) provide the Representative lists of the record and, to the extent known, beneficial owners of the Common Warrants. For each Common Warrant exercised, the Company will pay the Underwriters a solicitation fee (the “</w:t>
      </w:r>
      <w:r>
        <w:rPr>
          <w:b/>
          <w:sz w:val="20"/>
        </w:rPr>
        <w:t>Solicitation Fee</w:t>
      </w:r>
      <w:r>
        <w:rPr>
          <w:sz w:val="20"/>
        </w:rPr>
        <w:t>”) of six percent (6%) of the exercise price of the Common Warrants. The Company shall provide the Representative with written notice of each exercise of Common Warrants within 24 hours of the applicable exercise date of such Common Warrants. Any such Solicitation Fee shall be paid to the Underwriters not less than two (2) business days after the exercise date giving rise to such Solicitation Fee and shall be paid by wire transfer of immediately available funds to an account previously specified by the Representative. The Company agrees to disclose the arrangement to pay the Solicitation Fee to the Representative in the Pricing Disclosure Package and the Prospectus. Notwithstanding the foregoing, as required by FINRA Rule 5110(g)(10), no Solicitation Fee shall be payable to the Representative hereunder in respect of the exercise of a Common Warrant if: (i) the market price of the underlying Common Shares is lower than the exercise price of the Common Warrant at the time of exercise; (ii) the Common Warrant is held in a discretionary account of the Representative at the time of exercise, unless prior specific written approval for the exercise is received from the holder; (iii) the arrangement to pay the Solicitation Fee is not disclosed in the Pricing Disclosure Package and Prospectus or in any prospectus provided to the holder of the Common Warrant at the time of exercise; or (iv) the Common Warrant is exercised in an unsolicited transaction.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12.               </w:t>
      </w:r>
      <w:r>
        <w:rPr>
          <w:sz w:val="20"/>
          <w:u w:val="single"/>
        </w:rPr>
        <w:t>Persons Entitled to Benefit of Agreement</w:t>
      </w:r>
      <w:r>
        <w:rPr>
          <w:sz w:val="20"/>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13.               </w:t>
      </w:r>
      <w:r>
        <w:rPr>
          <w:sz w:val="20"/>
          <w:u w:val="single"/>
        </w:rPr>
        <w:t>Survival</w:t>
      </w:r>
      <w:r>
        <w:rPr>
          <w:sz w:val="20"/>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 or the directors, officers, controlling persons or affiliates referred to in Section 7 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14.               </w:t>
      </w:r>
      <w:r>
        <w:rPr>
          <w:sz w:val="20"/>
          <w:u w:val="single"/>
        </w:rPr>
        <w:t>Certain Defined Terms</w:t>
      </w:r>
      <w:r>
        <w:rPr>
          <w:sz w:val="20"/>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 In the event that the Company has only one subsidiary, then all references herein to “subsidiaries” of the Company shall be deemed to refer to such single subsidiary, mutatis mutandis.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15.               </w:t>
      </w:r>
      <w:r>
        <w:rPr>
          <w:sz w:val="20"/>
          <w:u w:val="single"/>
        </w:rPr>
        <w:t>Compliance with USA Patriot Act</w:t>
      </w:r>
      <w:r>
        <w:rPr>
          <w:sz w:val="20"/>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16.               </w:t>
      </w:r>
      <w:r>
        <w:rPr>
          <w:sz w:val="20"/>
          <w:u w:val="single"/>
        </w:rPr>
        <w:t>Miscellaneous</w:t>
      </w:r>
      <w:r>
        <w:rPr>
          <w:sz w:val="20"/>
        </w:rPr>
        <w:t>.</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(a)                </w:t>
      </w:r>
      <w:r>
        <w:rPr>
          <w:i/>
          <w:sz w:val="20"/>
        </w:rPr>
        <w:t>Notices.</w:t>
      </w:r>
      <w:r>
        <w:rPr>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 at Guggenheim Securities, LLC, 330 Madison Avenue, New York, NY 10017, Attention: General Counsel, with a copy to Mintz, Levin, Cohn, Ferris, Glovsky and Popeo, P.C., One Financial Center, Boston, MA 02111, Attention: William C. Hicks, John T. Rudy and Alok A. Choksi; notices to the Company shall be given to it at Edesa Biotech, Inc., 100 Spy Court, Markham, ON, Canada L3R 5H6, Telephone:(289) 800-9600, Attention: Chief Financial Officer, with a copy to Lowenstein Sandler LLP, 1251 Avenue of the Americas, New York, NY 10020, Attention: Steven M. Skolnick. Any party hereto may change the address for receipt of communications by giving written notice to the others.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(b)                </w:t>
      </w:r>
      <w:r>
        <w:rPr>
          <w:i/>
          <w:sz w:val="20"/>
        </w:rPr>
        <w:t>Governing Law.</w:t>
      </w:r>
      <w:r>
        <w:rPr>
          <w:sz w:val="20"/>
        </w:rPr>
        <w:t xml:space="preserve"> This Agreement and any claim, controversy or dispute arising under or related to this Agreement shall be governed by and construed in accordance with the laws of the State of New York applicable to agreements made and to be performed in such state.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(c)                </w:t>
      </w:r>
      <w:r>
        <w:rPr>
          <w:i/>
          <w:sz w:val="20"/>
        </w:rPr>
        <w:t>Waiver of Jury Trial</w:t>
      </w:r>
      <w:r>
        <w:rPr>
          <w:sz w:val="20"/>
        </w:rPr>
        <w:t>. Each of the parties hereto hereby irrevocably waives, to the fullest extent permitted by applicable law, any and all right to trial by jury in any suit or legal proceeding arising out of or relating to this Agreement or the transactions contemplated hereby.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(d)                </w:t>
      </w:r>
      <w:r>
        <w:rPr>
          <w:i/>
          <w:sz w:val="20"/>
        </w:rPr>
        <w:t>Counterparts.</w:t>
      </w:r>
      <w:r>
        <w:rPr>
          <w:sz w:val="20"/>
        </w:rPr>
        <w:t xml:space="preserve">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(e)                </w:t>
      </w:r>
      <w:r>
        <w:rPr>
          <w:i/>
          <w:sz w:val="20"/>
        </w:rPr>
        <w:t>Amendments or Waivers.</w:t>
      </w:r>
      <w:r>
        <w:rPr>
          <w:sz w:val="20"/>
        </w:rPr>
        <w:t xml:space="preserve">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(f)                 </w:t>
      </w:r>
      <w:r>
        <w:rPr>
          <w:i/>
          <w:sz w:val="20"/>
        </w:rPr>
        <w:t>Headings.</w:t>
      </w:r>
      <w:r>
        <w:rPr>
          <w:sz w:val="20"/>
        </w:rPr>
        <w:t xml:space="preserve"> The headings herein are included for convenience of reference only and are not intended to be part of, or to affect the meaning or interpretation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(g)                </w:t>
      </w:r>
      <w:r>
        <w:rPr>
          <w:i/>
          <w:sz w:val="20"/>
        </w:rPr>
        <w:t xml:space="preserve">Integration. </w:t>
      </w:r>
      <w:r>
        <w:rPr>
          <w:sz w:val="20"/>
        </w:rPr>
        <w:t>This Agreement supersedes all prior agreements and understandings (whether written or oral) between the Company and the Underwriters with respect to the subject matter 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(h)                </w:t>
      </w:r>
      <w:r>
        <w:rPr>
          <w:i/>
          <w:sz w:val="20"/>
        </w:rPr>
        <w:t>Recognition of the U.S. Special Resolution Regimes</w:t>
      </w:r>
      <w:r>
        <w:rPr>
          <w:sz w:val="20"/>
        </w:rPr>
        <w:t>.</w:t>
      </w:r>
    </w:p>
    <w:p>
      <w:pPr>
        <w:pStyle w:val="TextBody"/>
        <w:bidi w:val="0"/>
        <w:spacing w:before="0" w:after="0"/>
        <w:ind w:left="0" w:right="0" w:firstLine="720"/>
        <w:jc w:val="both"/>
        <w:rPr/>
      </w:pPr>
      <w:r>
        <w:rPr/>
        <w:t> </w:t>
      </w:r>
    </w:p>
    <w:p>
      <w:pPr>
        <w:pStyle w:val="TextBody"/>
        <w:bidi w:val="0"/>
        <w:spacing w:before="0" w:after="0"/>
        <w:ind w:left="720" w:right="0" w:firstLine="720"/>
        <w:jc w:val="both"/>
        <w:rPr>
          <w:sz w:val="20"/>
        </w:rPr>
      </w:pPr>
      <w:r>
        <w:rPr>
          <w:sz w:val="20"/>
        </w:rPr>
        <w:t>(i) 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(ii) In the event that any Underwriter is a Covered Entity or a BHC Act Affiliate of the Underwriter and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720" w:right="0" w:firstLine="720"/>
        <w:jc w:val="both"/>
        <w:rPr/>
      </w:pPr>
      <w:r>
        <w:rPr/>
        <w:t> </w:t>
      </w:r>
    </w:p>
    <w:p>
      <w:pPr>
        <w:pStyle w:val="TextBody"/>
        <w:bidi w:val="0"/>
        <w:spacing w:before="0" w:after="0"/>
        <w:ind w:left="0" w:right="0" w:firstLine="720"/>
        <w:jc w:val="both"/>
        <w:rPr>
          <w:sz w:val="20"/>
        </w:rPr>
      </w:pPr>
      <w:r>
        <w:rPr>
          <w:sz w:val="20"/>
        </w:rPr>
        <w:t>As used in this Section 16(h):</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w:t>
      </w:r>
      <w:r>
        <w:rPr>
          <w:b/>
          <w:sz w:val="20"/>
        </w:rPr>
        <w:t>BHC Act Affiliate</w:t>
      </w:r>
      <w:r>
        <w:rPr>
          <w:sz w:val="20"/>
        </w:rPr>
        <w:t>” has the meaning assigned to the term “affiliate” in, and shall be interpreted in accordance with, 12 U.S.C. § 1841(k).</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b/>
          <w:sz w:val="20"/>
        </w:rPr>
        <w:t>Covered Entity</w:t>
      </w:r>
      <w:r>
        <w:rPr>
          <w:sz w:val="20"/>
        </w:rPr>
        <w:t>” means any of the following:</w:t>
      </w:r>
    </w:p>
    <w:p>
      <w:pPr>
        <w:pStyle w:val="TextBody"/>
        <w:bidi w:val="0"/>
        <w:spacing w:before="0" w:after="0"/>
        <w:ind w:left="0" w:right="0" w:firstLine="720"/>
        <w:jc w:val="both"/>
        <w:rPr/>
      </w:pPr>
      <w:r>
        <w:rPr/>
        <w:t> </w:t>
      </w:r>
    </w:p>
    <w:p>
      <w:pPr>
        <w:pStyle w:val="TextBody"/>
        <w:bidi w:val="0"/>
        <w:spacing w:before="0" w:after="0"/>
        <w:ind w:left="1440" w:right="0" w:hanging="0"/>
        <w:jc w:val="both"/>
        <w:rPr>
          <w:sz w:val="20"/>
        </w:rPr>
      </w:pPr>
      <w:r>
        <w:rPr>
          <w:sz w:val="20"/>
        </w:rPr>
        <w:t>(i) a “covered entity” as that term is defined in, and interpreted in accordance with, 12 C.F.R. § 252.82(b);</w:t>
      </w:r>
    </w:p>
    <w:p>
      <w:pPr>
        <w:pStyle w:val="TextBody"/>
        <w:bidi w:val="0"/>
        <w:spacing w:before="0" w:after="0"/>
        <w:ind w:left="1440" w:right="0" w:hanging="0"/>
        <w:jc w:val="both"/>
        <w:rPr/>
      </w:pPr>
      <w:r>
        <w:rPr/>
        <w:t> </w:t>
      </w:r>
    </w:p>
    <w:p>
      <w:pPr>
        <w:pStyle w:val="TextBody"/>
        <w:bidi w:val="0"/>
        <w:spacing w:before="0" w:after="0"/>
        <w:ind w:left="1440" w:right="0" w:hanging="0"/>
        <w:jc w:val="both"/>
        <w:rPr>
          <w:sz w:val="20"/>
        </w:rPr>
      </w:pPr>
      <w:r>
        <w:rPr>
          <w:sz w:val="20"/>
        </w:rPr>
        <w:t>(ii) a “covered bank” as that term is defined in, and interpreted in accordance with, 12 C.F.R. § 47.3(b); or</w:t>
      </w:r>
    </w:p>
    <w:p>
      <w:pPr>
        <w:pStyle w:val="TextBody"/>
        <w:bidi w:val="0"/>
        <w:spacing w:before="0" w:after="0"/>
        <w:ind w:left="1440" w:right="0" w:hanging="0"/>
        <w:jc w:val="both"/>
        <w:rPr/>
      </w:pPr>
      <w:r>
        <w:rPr/>
        <w:t> </w:t>
      </w:r>
    </w:p>
    <w:p>
      <w:pPr>
        <w:pStyle w:val="TextBody"/>
        <w:bidi w:val="0"/>
        <w:spacing w:before="0" w:after="0"/>
        <w:ind w:left="1440" w:right="0" w:hanging="0"/>
        <w:jc w:val="both"/>
        <w:rPr>
          <w:sz w:val="20"/>
        </w:rPr>
      </w:pPr>
      <w:r>
        <w:rPr>
          <w:sz w:val="20"/>
        </w:rPr>
        <w:t>(iii) a “covered FSI” as that term is defined in, and interpreted in accordance with, 12 C.F.R. § 382.2(b).</w:t>
      </w:r>
    </w:p>
    <w:p>
      <w:pPr>
        <w:pStyle w:val="TextBody"/>
        <w:bidi w:val="0"/>
        <w:spacing w:before="0" w:after="0"/>
        <w:ind w:left="1440" w:right="0" w:hanging="0"/>
        <w:jc w:val="both"/>
        <w:rPr/>
      </w:pPr>
      <w:r>
        <w:rPr/>
        <w:t> </w:t>
      </w:r>
    </w:p>
    <w:p>
      <w:pPr>
        <w:pStyle w:val="TextBody"/>
        <w:bidi w:val="0"/>
        <w:spacing w:before="0" w:after="0"/>
        <w:ind w:left="0" w:right="0" w:firstLine="720"/>
        <w:jc w:val="both"/>
        <w:rPr/>
      </w:pPr>
      <w:r>
        <w:rPr/>
        <w:t>“</w:t>
      </w:r>
      <w:r>
        <w:rPr>
          <w:b/>
          <w:sz w:val="20"/>
        </w:rPr>
        <w:t>Default Right</w:t>
      </w:r>
      <w:r>
        <w:rPr>
          <w:sz w:val="20"/>
        </w:rPr>
        <w:t>” has the meaning assigned to that term in, and shall be interpreted in accordance with, 12 C.F.R. §§ 252.81, 47.2 or 382.1, as applicable.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w:t>
      </w:r>
      <w:r>
        <w:rPr>
          <w:b/>
          <w:sz w:val="20"/>
        </w:rPr>
        <w:t>U.S. Special Resolution Regime</w:t>
      </w:r>
      <w:r>
        <w:rPr>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firstLine="720"/>
        <w:jc w:val="both"/>
        <w:rPr/>
      </w:pPr>
      <w:r>
        <w:rPr/>
        <w:t> </w:t>
      </w:r>
    </w:p>
    <w:p>
      <w:pPr>
        <w:pStyle w:val="TextBody"/>
        <w:bidi w:val="0"/>
        <w:spacing w:before="0" w:after="0"/>
        <w:ind w:left="0" w:right="0" w:hanging="0"/>
        <w:jc w:val="center"/>
        <w:rPr>
          <w:i/>
          <w:sz w:val="20"/>
        </w:rPr>
      </w:pPr>
      <w:r>
        <w:rPr>
          <w:i/>
          <w:sz w:val="20"/>
        </w:rPr>
        <w:t>[Signature Page Follows]</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If the foregoing is in accordance with your understanding, please indicate your acceptance of this Agreement by signing in the space provided below.</w:t>
      </w:r>
    </w:p>
    <w:p>
      <w:pPr>
        <w:pStyle w:val="TextBody"/>
        <w:bidi w:val="0"/>
        <w:spacing w:before="0" w:after="0"/>
        <w:ind w:left="0" w:right="0" w:firstLine="720"/>
        <w:jc w:val="both"/>
        <w:rPr/>
      </w:pPr>
      <w:r>
        <w:rPr/>
        <w:t> </w:t>
      </w:r>
    </w:p>
    <w:tbl>
      <w:tblPr>
        <w:tblW w:w="3325" w:type="dxa"/>
        <w:jc w:val="left"/>
        <w:tblInd w:w="0" w:type="dxa"/>
        <w:tblLayout w:type="fixed"/>
        <w:tblCellMar>
          <w:top w:w="0" w:type="dxa"/>
          <w:left w:w="0" w:type="dxa"/>
          <w:bottom w:w="0" w:type="dxa"/>
          <w:right w:w="0" w:type="dxa"/>
        </w:tblCellMar>
      </w:tblPr>
      <w:tblGrid>
        <w:gridCol w:w="60"/>
        <w:gridCol w:w="365"/>
        <w:gridCol w:w="2900"/>
      </w:tblGrid>
      <w:tr>
        <w:trPr/>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2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b/>
              </w:rPr>
            </w:pPr>
            <w:r>
              <w:rPr>
                <w:b/>
              </w:rPr>
              <w:t>EDESA BIOTECH, INC.</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2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2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00" w:type="dxa"/>
            <w:tcBorders/>
            <w:vAlign w:val="center"/>
          </w:tcPr>
          <w:p>
            <w:pPr>
              <w:pStyle w:val="TableContents"/>
              <w:bidi w:val="0"/>
              <w:spacing w:before="0" w:after="283"/>
              <w:jc w:val="left"/>
              <w:rPr>
                <w:i/>
                <w:u w:val="single"/>
              </w:rPr>
            </w:pPr>
            <w:r>
              <w:rPr>
                <w:i/>
                <w:u w:val="single"/>
              </w:rPr>
              <w:t>/s/ Pardeep Nijhawan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xml:space="preserve">Name: </w:t>
            </w:r>
            <w:r>
              <w:rPr>
                <w:b w:val="false"/>
                <w:i w:val="false"/>
                <w:caps w:val="false"/>
                <w:smallCaps w:val="false"/>
                <w:sz w:val="20"/>
              </w:rPr>
              <w:t>Pardeep Nijhawan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Title: Chief Executive Officer </w:t>
            </w:r>
          </w:p>
        </w:tc>
      </w:tr>
    </w:tbl>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i/>
          <w:sz w:val="20"/>
        </w:rPr>
      </w:pPr>
      <w:r>
        <w:rPr>
          <w:i/>
          <w:sz w:val="20"/>
        </w:rPr>
        <w:t>[Signature Page to Underwriting Agreement]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The foregoing Underwriting Agreement is hereby confirmed and accepted by the Representative as of the date first above written.</w:t>
      </w:r>
    </w:p>
    <w:p>
      <w:pPr>
        <w:pStyle w:val="TextBody"/>
        <w:bidi w:val="0"/>
        <w:spacing w:before="0" w:after="0"/>
        <w:ind w:left="0" w:right="0" w:firstLine="720"/>
        <w:jc w:val="both"/>
        <w:rPr/>
      </w:pPr>
      <w:r>
        <w:rPr/>
        <w:t> </w:t>
      </w:r>
    </w:p>
    <w:p>
      <w:pPr>
        <w:pStyle w:val="TextBody"/>
        <w:bidi w:val="0"/>
        <w:spacing w:before="0" w:after="0"/>
        <w:ind w:left="0" w:right="0" w:hanging="0"/>
        <w:jc w:val="both"/>
        <w:rPr>
          <w:b/>
          <w:sz w:val="20"/>
        </w:rPr>
      </w:pPr>
      <w:r>
        <w:rPr>
          <w:b/>
          <w:sz w:val="20"/>
        </w:rPr>
        <w:t>GUGGENHEIM SECURITIES, LLC</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Acting individually and as Representative</w:t>
      </w:r>
    </w:p>
    <w:p>
      <w:pPr>
        <w:pStyle w:val="TextBody"/>
        <w:bidi w:val="0"/>
        <w:spacing w:before="0" w:after="0"/>
        <w:ind w:left="0" w:right="0" w:hanging="0"/>
        <w:jc w:val="both"/>
        <w:rPr>
          <w:sz w:val="20"/>
        </w:rPr>
      </w:pPr>
      <w:r>
        <w:rPr>
          <w:sz w:val="20"/>
        </w:rPr>
        <w:t xml:space="preserve">of the several Underwriters named in the attached </w:t>
      </w:r>
      <w:r>
        <w:rPr>
          <w:sz w:val="20"/>
          <w:u w:val="single"/>
        </w:rPr>
        <w:t>Schedule 1</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2950" w:type="dxa"/>
        <w:jc w:val="left"/>
        <w:tblInd w:w="0" w:type="dxa"/>
        <w:tblLayout w:type="fixed"/>
        <w:tblCellMar>
          <w:top w:w="0" w:type="dxa"/>
          <w:left w:w="0" w:type="dxa"/>
          <w:bottom w:w="0" w:type="dxa"/>
          <w:right w:w="0" w:type="dxa"/>
        </w:tblCellMar>
      </w:tblPr>
      <w:tblGrid>
        <w:gridCol w:w="320"/>
        <w:gridCol w:w="2630"/>
      </w:tblGrid>
      <w:tr>
        <w:trPr/>
        <w:tc>
          <w:tcPr>
            <w:tcW w:w="320" w:type="dxa"/>
            <w:tcBorders/>
            <w:vAlign w:val="center"/>
          </w:tcPr>
          <w:p>
            <w:pPr>
              <w:pStyle w:val="TableContents"/>
              <w:bidi w:val="0"/>
              <w:spacing w:before="0" w:after="283"/>
              <w:jc w:val="both"/>
              <w:rPr>
                <w:sz w:val="20"/>
              </w:rPr>
            </w:pPr>
            <w:r>
              <w:rPr>
                <w:sz w:val="20"/>
              </w:rPr>
              <w:t>By:</w:t>
            </w:r>
          </w:p>
        </w:tc>
        <w:tc>
          <w:tcPr>
            <w:tcW w:w="2630" w:type="dxa"/>
            <w:tcBorders/>
            <w:vAlign w:val="center"/>
          </w:tcPr>
          <w:p>
            <w:pPr>
              <w:pStyle w:val="TableContents"/>
              <w:bidi w:val="0"/>
              <w:spacing w:before="0" w:after="283"/>
              <w:jc w:val="both"/>
              <w:rPr>
                <w:i/>
                <w:sz w:val="20"/>
                <w:u w:val="single"/>
              </w:rPr>
            </w:pPr>
            <w:r>
              <w:rPr>
                <w:i/>
                <w:sz w:val="20"/>
                <w:u w:val="single"/>
              </w:rPr>
              <w:t>/s/ Geoffrey Goodman</w:t>
            </w:r>
          </w:p>
        </w:tc>
      </w:tr>
      <w:tr>
        <w:trPr/>
        <w:tc>
          <w:tcPr>
            <w:tcW w:w="32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both"/>
              <w:rPr>
                <w:sz w:val="20"/>
              </w:rPr>
            </w:pPr>
            <w:r>
              <w:rPr>
                <w:sz w:val="20"/>
              </w:rPr>
              <w:t>Name: Geoffrey Goodman</w:t>
            </w:r>
          </w:p>
        </w:tc>
      </w:tr>
      <w:tr>
        <w:trPr/>
        <w:tc>
          <w:tcPr>
            <w:tcW w:w="32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both"/>
              <w:rPr>
                <w:sz w:val="20"/>
              </w:rPr>
            </w:pPr>
            <w:r>
              <w:rPr>
                <w:sz w:val="20"/>
              </w:rPr>
              <w:t>Title: Senior Managing Director</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i/>
          <w:sz w:val="20"/>
        </w:rPr>
      </w:pPr>
      <w:r>
        <w:rPr>
          <w:i/>
          <w:sz w:val="20"/>
        </w:rPr>
        <w:t>[Signature Page to Underwriting Agreement]</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Schedule 1</w:t>
      </w:r>
    </w:p>
    <w:p>
      <w:pPr>
        <w:pStyle w:val="TextBody"/>
        <w:bidi w:val="0"/>
        <w:spacing w:before="0" w:after="0"/>
        <w:ind w:left="0" w:right="0" w:hanging="0"/>
        <w:jc w:val="right"/>
        <w:rPr/>
      </w:pPr>
      <w:r>
        <w:rPr/>
        <w:t> </w:t>
      </w:r>
    </w:p>
    <w:tbl>
      <w:tblPr>
        <w:tblW w:w="7280" w:type="dxa"/>
        <w:jc w:val="left"/>
        <w:tblInd w:w="0" w:type="dxa"/>
        <w:tblLayout w:type="fixed"/>
        <w:tblCellMar>
          <w:top w:w="0" w:type="dxa"/>
          <w:left w:w="0" w:type="dxa"/>
          <w:bottom w:w="28" w:type="dxa"/>
          <w:right w:w="0" w:type="dxa"/>
        </w:tblCellMar>
      </w:tblPr>
      <w:tblGrid>
        <w:gridCol w:w="2825"/>
        <w:gridCol w:w="60"/>
        <w:gridCol w:w="1475"/>
        <w:gridCol w:w="60"/>
        <w:gridCol w:w="1310"/>
        <w:gridCol w:w="60"/>
        <w:gridCol w:w="1490"/>
      </w:tblGrid>
      <w:tr>
        <w:trPr/>
        <w:tc>
          <w:tcPr>
            <w:tcW w:w="2825" w:type="dxa"/>
            <w:tcBorders>
              <w:bottom w:val="single" w:sz="8" w:space="0" w:color="000000"/>
            </w:tcBorders>
            <w:vAlign w:val="center"/>
          </w:tcPr>
          <w:p>
            <w:pPr>
              <w:pStyle w:val="TableContents"/>
              <w:bidi w:val="0"/>
              <w:spacing w:before="0" w:after="283"/>
              <w:jc w:val="center"/>
              <w:rPr>
                <w:b/>
              </w:rPr>
            </w:pPr>
            <w:r>
              <w:rPr>
                <w:b/>
              </w:rPr>
              <w:t>Underwriters</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b/>
              </w:rPr>
            </w:pPr>
            <w:r>
              <w:rPr>
                <w:b/>
              </w:rPr>
              <w:t xml:space="preserve">Number of </w:t>
              <w:br/>
              <w:t xml:space="preserve">Underwritten </w:t>
              <w:br/>
              <w:t>Shares</w:t>
            </w:r>
          </w:p>
        </w:tc>
        <w:tc>
          <w:tcPr>
            <w:tcW w:w="60" w:type="dxa"/>
            <w:tcBorders>
              <w:bottom w:val="single" w:sz="8" w:space="0" w:color="000000"/>
            </w:tcBorders>
            <w:vAlign w:val="center"/>
          </w:tcPr>
          <w:p>
            <w:pPr>
              <w:pStyle w:val="TableContents"/>
              <w:bidi w:val="0"/>
              <w:spacing w:before="0" w:after="283"/>
              <w:jc w:val="center"/>
              <w:rPr/>
            </w:pPr>
            <w:r>
              <w:rPr/>
              <w:t> </w:t>
            </w:r>
          </w:p>
        </w:tc>
        <w:tc>
          <w:tcPr>
            <w:tcW w:w="1310" w:type="dxa"/>
            <w:tcBorders>
              <w:bottom w:val="single" w:sz="8" w:space="0" w:color="000000"/>
            </w:tcBorders>
            <w:vAlign w:val="center"/>
          </w:tcPr>
          <w:p>
            <w:pPr>
              <w:pStyle w:val="TableContents"/>
              <w:bidi w:val="0"/>
              <w:spacing w:before="0" w:after="283"/>
              <w:jc w:val="center"/>
              <w:rPr>
                <w:b/>
              </w:rPr>
            </w:pPr>
            <w:r>
              <w:rPr>
                <w:b/>
              </w:rPr>
              <w:t xml:space="preserve">Number of </w:t>
              <w:br/>
              <w:t xml:space="preserve">Pre-Funded </w:t>
              <w:br/>
              <w:t>Warrants</w:t>
            </w:r>
          </w:p>
        </w:tc>
        <w:tc>
          <w:tcPr>
            <w:tcW w:w="60" w:type="dxa"/>
            <w:tcBorders>
              <w:bottom w:val="single" w:sz="8" w:space="0" w:color="000000"/>
            </w:tcBorders>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b/>
              </w:rPr>
            </w:pPr>
            <w:r>
              <w:rPr>
                <w:b/>
              </w:rPr>
              <w:t xml:space="preserve">Number of </w:t>
              <w:br/>
              <w:t xml:space="preserve">Underwritten </w:t>
              <w:br/>
              <w:t xml:space="preserve">Common </w:t>
              <w:br/>
              <w:t>Warrants</w:t>
            </w:r>
          </w:p>
        </w:tc>
      </w:tr>
      <w:tr>
        <w:trPr/>
        <w:tc>
          <w:tcPr>
            <w:tcW w:w="28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tcBorders/>
            <w:tcMar>
              <w:bottom w:w="0" w:type="dxa"/>
            </w:tcMar>
            <w:vAlign w:val="center"/>
          </w:tcPr>
          <w:p>
            <w:pPr>
              <w:pStyle w:val="TableContents"/>
              <w:bidi w:val="0"/>
              <w:spacing w:before="0" w:after="283"/>
              <w:jc w:val="center"/>
              <w:rPr/>
            </w:pPr>
            <w:r>
              <w:rPr/>
              <w:t> </w:t>
            </w:r>
          </w:p>
        </w:tc>
      </w:tr>
      <w:tr>
        <w:trPr/>
        <w:tc>
          <w:tcPr>
            <w:tcW w:w="2825" w:type="dxa"/>
            <w:tcBorders/>
            <w:tcMar>
              <w:bottom w:w="0" w:type="dxa"/>
            </w:tcMar>
            <w:vAlign w:val="center"/>
          </w:tcPr>
          <w:p>
            <w:pPr>
              <w:pStyle w:val="TableContents"/>
              <w:bidi w:val="0"/>
              <w:spacing w:before="0" w:after="283"/>
              <w:jc w:val="both"/>
              <w:rPr/>
            </w:pPr>
            <w:r>
              <w:rPr/>
              <w:t>Guggenheim Securities, LLC</w:t>
            </w:r>
          </w:p>
        </w:tc>
        <w:tc>
          <w:tcPr>
            <w:tcW w:w="60" w:type="dxa"/>
            <w:tcBorders/>
            <w:tcMar>
              <w:bottom w:w="0" w:type="dxa"/>
            </w:tcMar>
            <w:vAlign w:val="center"/>
          </w:tcPr>
          <w:p>
            <w:pPr>
              <w:pStyle w:val="TableContents"/>
              <w:bidi w:val="0"/>
              <w:spacing w:before="0" w:after="283"/>
              <w:jc w:val="right"/>
              <w:rPr/>
            </w:pPr>
            <w:r>
              <w:rPr/>
              <w:t> </w:t>
            </w:r>
          </w:p>
        </w:tc>
        <w:tc>
          <w:tcPr>
            <w:tcW w:w="1475" w:type="dxa"/>
            <w:tcBorders/>
            <w:tcMar>
              <w:bottom w:w="0" w:type="dxa"/>
            </w:tcMar>
            <w:vAlign w:val="center"/>
          </w:tcPr>
          <w:p>
            <w:pPr>
              <w:pStyle w:val="TableContents"/>
              <w:bidi w:val="0"/>
              <w:spacing w:before="0" w:after="283"/>
              <w:jc w:val="right"/>
              <w:rPr/>
            </w:pPr>
            <w:r>
              <w:rPr/>
              <w:t>3,870,500</w:t>
            </w:r>
          </w:p>
        </w:tc>
        <w:tc>
          <w:tcPr>
            <w:tcW w:w="60" w:type="dxa"/>
            <w:tcBorders/>
            <w:tcMar>
              <w:bottom w:w="0" w:type="dxa"/>
            </w:tcMar>
            <w:vAlign w:val="center"/>
          </w:tcPr>
          <w:p>
            <w:pPr>
              <w:pStyle w:val="TableContents"/>
              <w:bidi w:val="0"/>
              <w:spacing w:before="0" w:after="283"/>
              <w:jc w:val="right"/>
              <w:rPr/>
            </w:pPr>
            <w:r>
              <w:rPr/>
              <w:t> </w:t>
            </w:r>
          </w:p>
        </w:tc>
        <w:tc>
          <w:tcPr>
            <w:tcW w:w="1310" w:type="dxa"/>
            <w:tcBorders/>
            <w:tcMar>
              <w:bottom w:w="0" w:type="dxa"/>
            </w:tcMar>
            <w:vAlign w:val="center"/>
          </w:tcPr>
          <w:p>
            <w:pPr>
              <w:pStyle w:val="TableContents"/>
              <w:bidi w:val="0"/>
              <w:spacing w:before="0" w:after="283"/>
              <w:jc w:val="right"/>
              <w:rPr/>
            </w:pPr>
            <w:r>
              <w:rPr/>
              <w:t>675,000</w:t>
            </w:r>
          </w:p>
        </w:tc>
        <w:tc>
          <w:tcPr>
            <w:tcW w:w="60" w:type="dxa"/>
            <w:tcBorders/>
            <w:tcMar>
              <w:bottom w:w="0" w:type="dxa"/>
            </w:tcMar>
            <w:vAlign w:val="center"/>
          </w:tcPr>
          <w:p>
            <w:pPr>
              <w:pStyle w:val="TableContents"/>
              <w:bidi w:val="0"/>
              <w:spacing w:before="0" w:after="283"/>
              <w:jc w:val="right"/>
              <w:rPr/>
            </w:pPr>
            <w:r>
              <w:rPr/>
              <w:t> </w:t>
            </w:r>
          </w:p>
        </w:tc>
        <w:tc>
          <w:tcPr>
            <w:tcW w:w="1490" w:type="dxa"/>
            <w:tcBorders/>
            <w:tcMar>
              <w:bottom w:w="0" w:type="dxa"/>
            </w:tcMar>
            <w:vAlign w:val="center"/>
          </w:tcPr>
          <w:p>
            <w:pPr>
              <w:pStyle w:val="TableContents"/>
              <w:bidi w:val="0"/>
              <w:spacing w:before="0" w:after="283"/>
              <w:jc w:val="right"/>
              <w:rPr/>
            </w:pPr>
            <w:r>
              <w:rPr/>
              <w:t>4,545,500</w:t>
            </w:r>
          </w:p>
        </w:tc>
      </w:tr>
      <w:tr>
        <w:trPr/>
        <w:tc>
          <w:tcPr>
            <w:tcW w:w="2825" w:type="dxa"/>
            <w:tcBorders/>
            <w:tcMar>
              <w:bottom w:w="0" w:type="dxa"/>
            </w:tcMar>
            <w:vAlign w:val="center"/>
          </w:tcPr>
          <w:p>
            <w:pPr>
              <w:pStyle w:val="TableContents"/>
              <w:bidi w:val="0"/>
              <w:spacing w:before="0" w:after="283"/>
              <w:jc w:val="right"/>
              <w:rPr>
                <w:b/>
              </w:rPr>
            </w:pPr>
            <w:r>
              <w:rPr>
                <w:b/>
              </w:rPr>
              <w:t>Total</w:t>
            </w:r>
          </w:p>
        </w:tc>
        <w:tc>
          <w:tcPr>
            <w:tcW w:w="60" w:type="dxa"/>
            <w:tcBorders/>
            <w:tcMar>
              <w:bottom w:w="0" w:type="dxa"/>
            </w:tcMar>
            <w:vAlign w:val="center"/>
          </w:tcPr>
          <w:p>
            <w:pPr>
              <w:pStyle w:val="TableContents"/>
              <w:bidi w:val="0"/>
              <w:spacing w:before="0" w:after="283"/>
              <w:jc w:val="right"/>
              <w:rPr/>
            </w:pPr>
            <w:r>
              <w:rPr/>
              <w:t> </w:t>
            </w:r>
          </w:p>
        </w:tc>
        <w:tc>
          <w:tcPr>
            <w:tcW w:w="1475" w:type="dxa"/>
            <w:tcBorders/>
            <w:tcMar>
              <w:bottom w:w="0" w:type="dxa"/>
            </w:tcMar>
            <w:vAlign w:val="center"/>
          </w:tcPr>
          <w:p>
            <w:pPr>
              <w:pStyle w:val="TableContents"/>
              <w:bidi w:val="0"/>
              <w:spacing w:before="0" w:after="283"/>
              <w:jc w:val="right"/>
              <w:rPr/>
            </w:pPr>
            <w:r>
              <w:rPr/>
              <w:t>3,870,500</w:t>
            </w:r>
          </w:p>
        </w:tc>
        <w:tc>
          <w:tcPr>
            <w:tcW w:w="60" w:type="dxa"/>
            <w:tcBorders/>
            <w:tcMar>
              <w:bottom w:w="0" w:type="dxa"/>
            </w:tcMar>
            <w:vAlign w:val="center"/>
          </w:tcPr>
          <w:p>
            <w:pPr>
              <w:pStyle w:val="TableContents"/>
              <w:bidi w:val="0"/>
              <w:spacing w:before="0" w:after="283"/>
              <w:jc w:val="right"/>
              <w:rPr/>
            </w:pPr>
            <w:r>
              <w:rPr/>
              <w:t> </w:t>
            </w:r>
          </w:p>
        </w:tc>
        <w:tc>
          <w:tcPr>
            <w:tcW w:w="1310" w:type="dxa"/>
            <w:tcBorders/>
            <w:tcMar>
              <w:bottom w:w="0" w:type="dxa"/>
            </w:tcMar>
            <w:vAlign w:val="center"/>
          </w:tcPr>
          <w:p>
            <w:pPr>
              <w:pStyle w:val="TableContents"/>
              <w:bidi w:val="0"/>
              <w:spacing w:before="0" w:after="283"/>
              <w:jc w:val="right"/>
              <w:rPr/>
            </w:pPr>
            <w:r>
              <w:rPr/>
              <w:t>675,000</w:t>
            </w:r>
          </w:p>
        </w:tc>
        <w:tc>
          <w:tcPr>
            <w:tcW w:w="60" w:type="dxa"/>
            <w:tcBorders/>
            <w:tcMar>
              <w:bottom w:w="0" w:type="dxa"/>
            </w:tcMar>
            <w:vAlign w:val="center"/>
          </w:tcPr>
          <w:p>
            <w:pPr>
              <w:pStyle w:val="TableContents"/>
              <w:bidi w:val="0"/>
              <w:spacing w:before="0" w:after="283"/>
              <w:jc w:val="right"/>
              <w:rPr/>
            </w:pPr>
            <w:r>
              <w:rPr/>
              <w:t> </w:t>
            </w:r>
          </w:p>
        </w:tc>
        <w:tc>
          <w:tcPr>
            <w:tcW w:w="1490" w:type="dxa"/>
            <w:tcBorders/>
            <w:tcMar>
              <w:bottom w:w="0" w:type="dxa"/>
            </w:tcMar>
            <w:vAlign w:val="center"/>
          </w:tcPr>
          <w:p>
            <w:pPr>
              <w:pStyle w:val="TableContents"/>
              <w:bidi w:val="0"/>
              <w:spacing w:before="0" w:after="283"/>
              <w:jc w:val="right"/>
              <w:rPr/>
            </w:pPr>
            <w:r>
              <w:rPr/>
              <w:t>4,545,500</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Annex A</w:t>
      </w:r>
    </w:p>
    <w:p>
      <w:pPr>
        <w:pStyle w:val="TextBody"/>
        <w:bidi w:val="0"/>
        <w:spacing w:before="0" w:after="0"/>
        <w:ind w:left="0" w:right="0" w:hanging="0"/>
        <w:jc w:val="right"/>
        <w:rPr/>
      </w:pPr>
      <w:r>
        <w:rPr/>
        <w:t> </w:t>
      </w:r>
    </w:p>
    <w:p>
      <w:pPr>
        <w:pStyle w:val="TextBody"/>
        <w:bidi w:val="0"/>
        <w:spacing w:before="0" w:after="0"/>
        <w:ind w:left="0" w:right="0" w:hanging="0"/>
        <w:jc w:val="both"/>
        <w:rPr>
          <w:sz w:val="20"/>
        </w:rPr>
      </w:pPr>
      <w:r>
        <w:rPr>
          <w:sz w:val="20"/>
        </w:rPr>
        <w:t xml:space="preserve">a. </w:t>
      </w:r>
      <w:r>
        <w:rPr>
          <w:b/>
          <w:sz w:val="20"/>
        </w:rPr>
        <w:t>Free Writing Prospectus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None.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 xml:space="preserve">b. </w:t>
      </w:r>
      <w:r>
        <w:rPr>
          <w:b/>
          <w:sz w:val="20"/>
        </w:rPr>
        <w:t>Pricing Information Provided Orally by Underwriters</w:t>
      </w:r>
    </w:p>
    <w:p>
      <w:pPr>
        <w:pStyle w:val="TextBody"/>
        <w:bidi w:val="0"/>
        <w:spacing w:before="0" w:after="0"/>
        <w:ind w:left="1440" w:right="0" w:hanging="720"/>
        <w:jc w:val="both"/>
        <w:rPr/>
      </w:pPr>
      <w:r>
        <w:rPr/>
        <w:t> </w:t>
      </w:r>
    </w:p>
    <w:p>
      <w:pPr>
        <w:pStyle w:val="TextBody"/>
        <w:bidi w:val="0"/>
        <w:spacing w:before="0" w:after="0"/>
        <w:ind w:left="1440" w:right="0" w:hanging="720"/>
        <w:jc w:val="both"/>
        <w:rPr>
          <w:sz w:val="20"/>
        </w:rPr>
      </w:pPr>
      <w:r>
        <w:rPr>
          <w:sz w:val="20"/>
        </w:rPr>
        <w:t>Combined Public Offering Price per Underwritten Common Share and Accompanying Underwritten Common Warrant: $5.50</w:t>
      </w:r>
    </w:p>
    <w:p>
      <w:pPr>
        <w:pStyle w:val="TextBody"/>
        <w:bidi w:val="0"/>
        <w:spacing w:before="0" w:after="0"/>
        <w:ind w:left="1440" w:right="0" w:hanging="720"/>
        <w:jc w:val="both"/>
        <w:rPr/>
      </w:pPr>
      <w:r>
        <w:rPr/>
        <w:t> </w:t>
      </w:r>
    </w:p>
    <w:p>
      <w:pPr>
        <w:pStyle w:val="TextBody"/>
        <w:bidi w:val="0"/>
        <w:spacing w:before="0" w:after="0"/>
        <w:ind w:left="1440" w:right="0" w:hanging="720"/>
        <w:jc w:val="both"/>
        <w:rPr>
          <w:sz w:val="20"/>
        </w:rPr>
      </w:pPr>
      <w:r>
        <w:rPr>
          <w:sz w:val="20"/>
        </w:rPr>
        <w:t>Combined Public Offering Price per Pre-Funded Warrant and Accompanying Underwritten Common Warrant: $5.4999</w:t>
      </w:r>
    </w:p>
    <w:p>
      <w:pPr>
        <w:pStyle w:val="TextBody"/>
        <w:bidi w:val="0"/>
        <w:spacing w:before="0" w:after="0"/>
        <w:ind w:left="1440" w:right="0" w:hanging="720"/>
        <w:jc w:val="both"/>
        <w:rPr/>
      </w:pPr>
      <w:r>
        <w:rPr/>
        <w:t> </w:t>
      </w:r>
    </w:p>
    <w:p>
      <w:pPr>
        <w:pStyle w:val="TextBody"/>
        <w:bidi w:val="0"/>
        <w:spacing w:before="0" w:after="0"/>
        <w:ind w:left="0" w:right="0" w:firstLine="720"/>
        <w:jc w:val="both"/>
        <w:rPr>
          <w:sz w:val="20"/>
        </w:rPr>
      </w:pPr>
      <w:r>
        <w:rPr>
          <w:sz w:val="20"/>
        </w:rPr>
        <w:t>Number of Underwritten Shares: 3,870,500</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Number of Underwritten Common Warrants accompanying the Underwritten Shares: 3,870,500</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Number of Pre-Funded Warrants: 675,000</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Number of Underwritten Common Warrants accompanying the Pre-Funded Warrants: 675,000</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Number of Option Shares: 681,825</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Number of Option Common Warrants accompanying the Option Shares: 681,825</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Annex B</w:t>
      </w:r>
    </w:p>
    <w:p>
      <w:pPr>
        <w:pStyle w:val="TextBody"/>
        <w:bidi w:val="0"/>
        <w:spacing w:before="0" w:after="0"/>
        <w:ind w:left="0" w:right="0" w:hanging="0"/>
        <w:jc w:val="center"/>
        <w:rPr>
          <w:b/>
          <w:sz w:val="20"/>
        </w:rPr>
      </w:pPr>
      <w:r>
        <w:rPr>
          <w:b/>
          <w:sz w:val="20"/>
        </w:rPr>
        <w:t>Pricing Term Sheet</w:t>
      </w:r>
    </w:p>
    <w:p>
      <w:pPr>
        <w:pStyle w:val="TextBody"/>
        <w:bidi w:val="0"/>
        <w:spacing w:before="0" w:after="0"/>
        <w:ind w:left="0" w:right="0" w:hanging="0"/>
        <w:jc w:val="both"/>
        <w:rPr>
          <w:sz w:val="20"/>
        </w:rPr>
      </w:pPr>
      <w:r>
        <w:rPr>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120" w:after="12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Exhibit A</w:t>
      </w:r>
    </w:p>
    <w:p>
      <w:pPr>
        <w:pStyle w:val="TextBody"/>
        <w:bidi w:val="0"/>
        <w:spacing w:before="0" w:after="0"/>
        <w:ind w:left="100" w:right="82" w:hanging="0"/>
        <w:jc w:val="both"/>
        <w:rPr/>
      </w:pPr>
      <w:r>
        <w:rPr/>
        <w:t> </w:t>
      </w:r>
    </w:p>
    <w:p>
      <w:pPr>
        <w:pStyle w:val="TextBody"/>
        <w:bidi w:val="0"/>
        <w:spacing w:before="0" w:after="0"/>
        <w:ind w:left="100" w:right="82" w:hanging="0"/>
        <w:jc w:val="center"/>
        <w:rPr>
          <w:b/>
          <w:sz w:val="20"/>
        </w:rPr>
      </w:pPr>
      <w:r>
        <w:rPr>
          <w:b/>
          <w:sz w:val="20"/>
        </w:rPr>
        <w:t>Form of Pre-Funded Warrant</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i/>
          <w:sz w:val="20"/>
        </w:rPr>
      </w:pPr>
      <w:r>
        <w:rPr>
          <w:i/>
          <w:sz w:val="20"/>
        </w:rPr>
        <w:t>[See attached]</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Exhibit B</w:t>
      </w:r>
    </w:p>
    <w:p>
      <w:pPr>
        <w:pStyle w:val="TextBody"/>
        <w:bidi w:val="0"/>
        <w:spacing w:before="0" w:after="0"/>
        <w:ind w:left="100" w:right="82" w:hanging="0"/>
        <w:jc w:val="both"/>
        <w:rPr/>
      </w:pPr>
      <w:r>
        <w:rPr/>
        <w:t> </w:t>
      </w:r>
    </w:p>
    <w:p>
      <w:pPr>
        <w:pStyle w:val="TextBody"/>
        <w:bidi w:val="0"/>
        <w:spacing w:before="0" w:after="0"/>
        <w:ind w:left="100" w:right="82" w:hanging="0"/>
        <w:jc w:val="center"/>
        <w:rPr>
          <w:b/>
          <w:sz w:val="20"/>
        </w:rPr>
      </w:pPr>
      <w:r>
        <w:rPr>
          <w:b/>
          <w:sz w:val="20"/>
        </w:rPr>
        <w:t>Form of Common Warrant</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i/>
          <w:sz w:val="20"/>
        </w:rPr>
      </w:pPr>
      <w:r>
        <w:rPr>
          <w:i/>
          <w:sz w:val="20"/>
        </w:rPr>
        <w:t>[See attached]</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b/>
          <w:sz w:val="20"/>
          <w:u w:val="single"/>
        </w:rPr>
      </w:pPr>
      <w:r>
        <w:rPr>
          <w:b/>
          <w:sz w:val="20"/>
          <w:u w:val="single"/>
        </w:rPr>
        <w:t>Exhibit C</w:t>
      </w:r>
    </w:p>
    <w:p>
      <w:pPr>
        <w:pStyle w:val="TextBody"/>
        <w:bidi w:val="0"/>
        <w:spacing w:before="0" w:after="0"/>
        <w:ind w:left="100" w:right="82" w:hanging="0"/>
        <w:jc w:val="both"/>
        <w:rPr/>
      </w:pPr>
      <w:r>
        <w:rPr/>
        <w:t> </w:t>
      </w:r>
    </w:p>
    <w:p>
      <w:pPr>
        <w:pStyle w:val="TextBody"/>
        <w:bidi w:val="0"/>
        <w:spacing w:before="0" w:after="0"/>
        <w:ind w:left="100" w:right="82" w:hanging="0"/>
        <w:jc w:val="center"/>
        <w:rPr>
          <w:b/>
          <w:sz w:val="20"/>
        </w:rPr>
      </w:pPr>
      <w:r>
        <w:rPr>
          <w:b/>
          <w:sz w:val="20"/>
        </w:rPr>
        <w:t>Form of Lock-up Agreement</w:t>
      </w:r>
    </w:p>
    <w:p>
      <w:pPr>
        <w:pStyle w:val="TextBody"/>
        <w:bidi w:val="0"/>
        <w:spacing w:before="0" w:after="0"/>
        <w:ind w:left="100" w:right="82" w:hanging="0"/>
        <w:jc w:val="center"/>
        <w:rPr/>
      </w:pPr>
      <w:r>
        <w:rPr/>
        <w:t> </w:t>
      </w:r>
    </w:p>
    <w:p>
      <w:pPr>
        <w:pStyle w:val="TextBody"/>
        <w:bidi w:val="0"/>
        <w:spacing w:before="0" w:after="0"/>
        <w:ind w:left="100" w:right="82" w:hanging="0"/>
        <w:jc w:val="center"/>
        <w:rPr/>
      </w:pPr>
      <w:r>
        <w:rPr/>
        <w:t> </w:t>
      </w:r>
    </w:p>
    <w:p>
      <w:pPr>
        <w:pStyle w:val="TextBody"/>
        <w:bidi w:val="0"/>
        <w:spacing w:before="0" w:after="0"/>
        <w:ind w:left="100" w:right="82" w:hanging="0"/>
        <w:jc w:val="center"/>
        <w:rPr>
          <w:i/>
          <w:sz w:val="20"/>
        </w:rPr>
      </w:pPr>
      <w:r>
        <w:rPr>
          <w:i/>
          <w:sz w:val="20"/>
        </w:rPr>
        <w:t>[See attached]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jc w:val="center"/>
        <w:rPr>
          <w:b/>
        </w:rPr>
      </w:pPr>
      <w:r>
        <w:rPr>
          <w:b/>
        </w:rPr>
        <w:t>Form of Lock-up Agreement</w:t>
      </w:r>
    </w:p>
    <w:p>
      <w:pPr>
        <w:pStyle w:val="TextBody"/>
        <w:bidi w:val="0"/>
        <w:spacing w:before="0" w:after="0"/>
        <w:jc w:val="center"/>
        <w:rPr/>
      </w:pPr>
      <w:r>
        <w:rPr/>
        <w:t> </w:t>
      </w:r>
    </w:p>
    <w:p>
      <w:pPr>
        <w:pStyle w:val="TextBody"/>
        <w:bidi w:val="0"/>
        <w:spacing w:before="0" w:after="0"/>
        <w:ind w:left="0" w:right="0" w:hanging="0"/>
        <w:jc w:val="right"/>
        <w:rPr>
          <w:sz w:val="20"/>
        </w:rPr>
      </w:pPr>
      <w:r>
        <w:rPr>
          <w:sz w:val="20"/>
        </w:rPr>
        <w:t>________,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Guggenheim Securities, LLC,</w:t>
      </w:r>
    </w:p>
    <w:p>
      <w:pPr>
        <w:pStyle w:val="TextBody"/>
        <w:bidi w:val="0"/>
        <w:spacing w:before="0" w:after="0"/>
        <w:ind w:left="0" w:right="0" w:firstLine="360"/>
        <w:jc w:val="left"/>
        <w:rPr>
          <w:sz w:val="20"/>
        </w:rPr>
      </w:pPr>
      <w:r>
        <w:rPr>
          <w:sz w:val="20"/>
        </w:rPr>
        <w:t>as Representative of the Underwriters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c/o</w:t>
        <w:tab/>
        <w:t>Guggenheim Securities, LLC</w:t>
      </w:r>
    </w:p>
    <w:p>
      <w:pPr>
        <w:pStyle w:val="TextBody"/>
        <w:bidi w:val="0"/>
        <w:spacing w:before="0" w:after="0"/>
        <w:ind w:left="0" w:right="0" w:firstLine="540"/>
        <w:jc w:val="left"/>
        <w:rPr>
          <w:sz w:val="20"/>
        </w:rPr>
      </w:pPr>
      <w:r>
        <w:rPr>
          <w:sz w:val="20"/>
        </w:rPr>
        <w:t>330 Madison Avenue</w:t>
      </w:r>
    </w:p>
    <w:p>
      <w:pPr>
        <w:pStyle w:val="TextBody"/>
        <w:bidi w:val="0"/>
        <w:spacing w:before="0" w:after="0"/>
        <w:ind w:left="0" w:right="0" w:firstLine="540"/>
        <w:jc w:val="left"/>
        <w:rPr>
          <w:sz w:val="20"/>
        </w:rPr>
      </w:pPr>
      <w:r>
        <w:rPr>
          <w:sz w:val="20"/>
        </w:rPr>
        <w:t>New York, NY 10017</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Re: Edesa Biotech, Inc.</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Ladies and Gentlemen:</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The undersigned, a shareholder of Edesa Biotech, Inc., a company organized under the laws of British Columbia, Canada (the “</w:t>
      </w:r>
      <w:r>
        <w:rPr>
          <w:b/>
          <w:sz w:val="20"/>
        </w:rPr>
        <w:t>Company</w:t>
      </w:r>
      <w:r>
        <w:rPr>
          <w:sz w:val="20"/>
        </w:rPr>
        <w:t>”), understands that you, as representative of the underwriters (the “</w:t>
      </w:r>
      <w:r>
        <w:rPr>
          <w:b/>
          <w:sz w:val="20"/>
        </w:rPr>
        <w:t>Representative</w:t>
      </w:r>
      <w:r>
        <w:rPr>
          <w:sz w:val="20"/>
        </w:rPr>
        <w:t>”), propose to enter into an Underwriting Agreement (the “</w:t>
      </w:r>
      <w:r>
        <w:rPr>
          <w:b/>
          <w:sz w:val="20"/>
        </w:rPr>
        <w:t>Underwriting Agreement</w:t>
      </w:r>
      <w:r>
        <w:rPr>
          <w:sz w:val="20"/>
        </w:rPr>
        <w:t>”) with the Company, providing for a public offering (the “</w:t>
      </w:r>
      <w:r>
        <w:rPr>
          <w:b/>
          <w:sz w:val="20"/>
        </w:rPr>
        <w:t>Offering</w:t>
      </w:r>
      <w:r>
        <w:rPr>
          <w:sz w:val="20"/>
        </w:rPr>
        <w:t>”) by the Company, of its common shares, without par value (the “</w:t>
      </w:r>
      <w:r>
        <w:rPr>
          <w:b/>
          <w:sz w:val="20"/>
        </w:rPr>
        <w:t>Common Shares</w:t>
      </w:r>
      <w:r>
        <w:rPr>
          <w:sz w:val="20"/>
        </w:rPr>
        <w:t>”) and/or pre-funded warrants to purchase Common Shares (together with the Common Shares, the “</w:t>
      </w:r>
      <w:r>
        <w:rPr>
          <w:b/>
          <w:sz w:val="20"/>
        </w:rPr>
        <w:t>Securities</w:t>
      </w:r>
      <w:r>
        <w:rPr>
          <w:sz w:val="20"/>
        </w:rPr>
        <w:t>”). Capitalized terms used herein and not otherwise defined shall have the meanings set forth in the Underwriting Agreement. To the extent there are no additional underwriters listed on Schedule 1 to the Underwriting Agreement, the term “Representative” as used herein shall mean you, as Underwriter, and the term “Underwriters” shall mean either the singular or the plural, as the context requires.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Annex A sets forth definitions for capitalized terms used in this Letter Agreement (as defined below) that are not defined in the body of this Letter Agreement. Those definitions are part of this Letter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In consideration of the Underwriters’ agreement to purchase and make the Offering of the Securities, and for other good and valuable consideration receipt of which is hereby acknowledged, the undersigned hereby agrees that, without the prior written consent of Guggenheim Securities, LLC, the undersigned will not, during the period beginning on the date of this letter agreement (this “</w:t>
      </w:r>
      <w:r>
        <w:rPr>
          <w:b/>
          <w:sz w:val="20"/>
        </w:rPr>
        <w:t>Letter Agreement</w:t>
      </w:r>
      <w:r>
        <w:rPr>
          <w:sz w:val="20"/>
        </w:rPr>
        <w:t>”) and ending 90 days after the date of the final prospectus supplement relating to the Offering (the “</w:t>
      </w:r>
      <w:r>
        <w:rPr>
          <w:b/>
          <w:sz w:val="20"/>
        </w:rPr>
        <w:t>Prospectus</w:t>
      </w:r>
      <w:r>
        <w:rPr>
          <w:sz w:val="20"/>
        </w:rPr>
        <w:t>”) (such period, the “</w:t>
      </w:r>
      <w:r>
        <w:rPr>
          <w:b/>
          <w:sz w:val="20"/>
        </w:rPr>
        <w:t>Restricted Period</w:t>
      </w:r>
      <w:r>
        <w:rPr>
          <w:sz w:val="20"/>
        </w:rPr>
        <w:t>”), (1) offer, pledge, sell, contract to sell, sell any option or contract to purchase, purchase any option or contract to sell, grant any option, right or warrant to purchase, or otherwise transfer or dispose of, directly or indirectly, any Securities or any securities convertible into or exercisable or exchangeable for Securities (including without limitation, Securities or such other securities which may be deemed to be beneficially owned by the undersigned in accordance with the rules and regulations of the Securities and Exchange Commission and securities which may be issued upon exercise of a share option or warrant), (2) enter into any swap or other agreement that transfers, in whole or in part, any of the economic consequences of ownership of the Securities or such other securities, whether any such transaction described in clause (1) or (2) above is to be settled by delivery of Securities or such other securities, in cash or otherwise, (3) make any demand for or exercise any right with respect to the registration of any Securities or any security convertible into or exercisable or exchangeable for Securities (and, for the avoidance of doubt, the undersigned hereby waives any and all notice requirements and rights with respect to the registration of any securities pursuant to any agreement, instrument, understanding or otherwise, including any shareholders or registration rights agreement or similar agreement, to which the undersigned is a party or under which the undersigned is entitled to any right or benefit), or (4) publicly disclose the intention to do any of the foregoing described in clauses (1), (2) and (3) above, in each case other than:</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(A)</w:t>
            </w:r>
          </w:p>
        </w:tc>
        <w:tc>
          <w:tcPr>
            <w:tcW w:w="9862" w:type="dxa"/>
            <w:tcBorders/>
            <w:vAlign w:val="center"/>
          </w:tcPr>
          <w:p>
            <w:pPr>
              <w:pStyle w:val="TableContents"/>
              <w:bidi w:val="0"/>
              <w:spacing w:before="0" w:after="283"/>
              <w:jc w:val="left"/>
              <w:rPr/>
            </w:pPr>
            <w:r>
              <w:rPr/>
              <w:t xml:space="preserve">transfers of Securities or any security convertible into or exercisable or exchangeable for Securities as a </w:t>
            </w:r>
            <w:r>
              <w:rPr>
                <w:i/>
              </w:rPr>
              <w:t>bona fide</w:t>
            </w:r>
            <w:r>
              <w:rPr/>
              <w:t xml:space="preserve"> gift or gifts or for </w:t>
            </w:r>
            <w:r>
              <w:rPr>
                <w:i/>
              </w:rPr>
              <w:t>bona fide</w:t>
            </w:r>
            <w:r>
              <w:rPr/>
              <w:t xml:space="preserve"> estate planning purposes including, without limitation, transfers to charitable organizations;</w:t>
            </w:r>
          </w:p>
        </w:tc>
      </w:tr>
    </w:tbl>
    <w:p>
      <w:pPr>
        <w:pStyle w:val="TextBody"/>
        <w:bidi w:val="0"/>
        <w:spacing w:before="0" w:after="0"/>
        <w:ind w:left="1260" w:right="0" w:hanging="540"/>
        <w:jc w:val="both"/>
        <w:rPr/>
      </w:pPr>
      <w:r>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left"/>
              <w:rPr/>
            </w:pPr>
            <w:r>
              <w:rPr/>
              <w:t>transfers or distributions of Securities or any security convertible into or exercisable or exchangeable for Securities to (i) limited partners, members, shareholders or holders of similar equity interests in the undersigned or (ii) to another corporation, partnership, limited liability company, trust or other business entity that is an affiliate (as defined in Rule 405 promulgated under the Securities Act) of the undersigned, including without limitation any general partner, limited partner, managing member, manager, member, employee, officer or director of such entity or any trust for the benefit of any of the foregoing or any affiliate of the foregoing, or to any investment fund or other entity controlled or managed by the undersigned or affiliates of the undersigned;</w:t>
            </w:r>
          </w:p>
        </w:tc>
      </w:tr>
    </w:tbl>
    <w:p>
      <w:pPr>
        <w:pStyle w:val="TextBody"/>
        <w:bidi w:val="0"/>
        <w:spacing w:before="0" w:after="0"/>
        <w:ind w:left="1260" w:right="0" w:hanging="540"/>
        <w:jc w:val="both"/>
        <w:rPr/>
      </w:pPr>
      <w:r>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283"/>
              <w:jc w:val="left"/>
              <w:rPr/>
            </w:pPr>
            <w:r>
              <w:rPr/>
              <w:t xml:space="preserve">transactions relating to Securities or other securities acquired in the Offering or open market transactions after the completion of the Offering; </w:t>
            </w:r>
            <w:r>
              <w:rPr>
                <w:i/>
              </w:rPr>
              <w:t>provided</w:t>
            </w:r>
            <w:r>
              <w:rPr/>
              <w:t>, that no public disclosure or filing under Section 16(a) of the Exchange Act shall be voluntarily made during the Restricted Period in connection with subsequent sales of Securities or other securities acquired in the Offering or such open market transactions during the Restricted Period, and any required filing under Section 16(a) of the Exchange Act in connection with any such subsequent sale shall indicate in the footnotes thereto that the filing relates to the circumstances described in this clause;</w:t>
            </w:r>
          </w:p>
        </w:tc>
      </w:tr>
    </w:tbl>
    <w:p>
      <w:pPr>
        <w:pStyle w:val="TextBody"/>
        <w:bidi w:val="0"/>
        <w:spacing w:before="0" w:after="0"/>
        <w:ind w:left="1260" w:right="0" w:hanging="540"/>
        <w:jc w:val="both"/>
        <w:rPr/>
      </w:pPr>
      <w:r>
        <w:rPr/>
        <w:t> </w:t>
      </w:r>
    </w:p>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(D)</w:t>
            </w:r>
          </w:p>
        </w:tc>
        <w:tc>
          <w:tcPr>
            <w:tcW w:w="9868" w:type="dxa"/>
            <w:tcBorders/>
            <w:vAlign w:val="center"/>
          </w:tcPr>
          <w:p>
            <w:pPr>
              <w:pStyle w:val="TableContents"/>
              <w:bidi w:val="0"/>
              <w:spacing w:before="0" w:after="283"/>
              <w:jc w:val="left"/>
              <w:rPr/>
            </w:pPr>
            <w:r>
              <w:rPr/>
              <w:t>(i) transfers or dispositions of Securities or any security convertible into or exercisable or exchangeable for Securities by will or intestacy or (ii) to any Family Member or to a trust whose beneficiaries consist exclusively of one or more of the undersigned and/or a Family Member;</w:t>
            </w:r>
          </w:p>
        </w:tc>
      </w:tr>
    </w:tbl>
    <w:p>
      <w:pPr>
        <w:pStyle w:val="TextBody"/>
        <w:bidi w:val="0"/>
        <w:spacing w:before="0" w:after="0"/>
        <w:ind w:left="1260" w:right="0" w:hanging="540"/>
        <w:jc w:val="both"/>
        <w:rPr/>
      </w:pPr>
      <w:r>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(E)</w:t>
            </w:r>
          </w:p>
        </w:tc>
        <w:tc>
          <w:tcPr>
            <w:tcW w:w="9913" w:type="dxa"/>
            <w:tcBorders/>
            <w:vAlign w:val="center"/>
          </w:tcPr>
          <w:p>
            <w:pPr>
              <w:pStyle w:val="TableContents"/>
              <w:bidi w:val="0"/>
              <w:spacing w:before="0" w:after="283"/>
              <w:jc w:val="left"/>
              <w:rPr/>
            </w:pPr>
            <w:r>
              <w:rPr/>
              <w:t xml:space="preserve">transfers of Securities or any security convertible into or exercisable or exchangeable for Securities pursuant to a domestic order, negotiated divorce settlement or other court order; </w:t>
            </w:r>
            <w:r>
              <w:rPr>
                <w:i/>
              </w:rPr>
              <w:t>provided</w:t>
            </w:r>
            <w:r>
              <w:rPr/>
              <w:t xml:space="preserve">, that any required filing under Section 16 of the Exchange Act shall indicate in the footnotes thereto that the filing relates to the circumstances described in this clause and no other public announcement shall be made voluntarily in connection with such transfer or disposition during the Restricted Period; </w:t>
            </w:r>
            <w:r>
              <w:rPr>
                <w:i/>
              </w:rPr>
              <w:t>provided further</w:t>
            </w:r>
            <w:r>
              <w:rPr/>
              <w:t>, that in the case of a negotiated divorce settlement, such transferee agrees to be bound by the restrictions on transfer set forth herein;</w:t>
            </w:r>
          </w:p>
        </w:tc>
      </w:tr>
    </w:tbl>
    <w:p>
      <w:pPr>
        <w:pStyle w:val="TextBody"/>
        <w:bidi w:val="0"/>
        <w:spacing w:before="0" w:after="0"/>
        <w:ind w:left="1260" w:right="0" w:hanging="540"/>
        <w:jc w:val="both"/>
        <w:rPr/>
      </w:pPr>
      <w:r>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(F)</w:t>
            </w:r>
          </w:p>
        </w:tc>
        <w:tc>
          <w:tcPr>
            <w:tcW w:w="9934" w:type="dxa"/>
            <w:tcBorders/>
            <w:vAlign w:val="center"/>
          </w:tcPr>
          <w:p>
            <w:pPr>
              <w:pStyle w:val="TableContents"/>
              <w:bidi w:val="0"/>
              <w:spacing w:before="0" w:after="283"/>
              <w:jc w:val="left"/>
              <w:rPr/>
            </w:pPr>
            <w:r>
              <w:rPr/>
              <w:t xml:space="preserve">the exercise of a warrant or the conversion of preferred shares, or the exercise of a share option, or the vesting or settlement of restricted share units or other equity awards, in each case granted under an equity incentive plan described in the Prospectus for Securities, including any transfer of Securities to the Company (i) in connection with the net or cashless exercise of such warrant or share option, including for the payment of the exercise price thereof, or (ii) withholding of Securities by the Company, in each case solely to satisfy tax withholding obligations of the undersigned arising from such exercise, conversion, vesting or settlement; </w:t>
            </w:r>
            <w:r>
              <w:rPr>
                <w:i/>
              </w:rPr>
              <w:t>provided</w:t>
            </w:r>
            <w:r>
              <w:rPr/>
              <w:t xml:space="preserve">, that the underlying Securities received by the undersigned (other than any Securities withheld or transferred to the Company as described above) shall continue to be subject to the restrictions on transfer set forth in this Letter Agreement; </w:t>
            </w:r>
            <w:r>
              <w:rPr>
                <w:i/>
              </w:rPr>
              <w:t>provided further</w:t>
            </w:r>
            <w:r>
              <w:rPr/>
              <w:t>, that no filing under Section 16(a) of the Exchange Act or other public filing, report or announcement shall be voluntarily made during the Restricted Period, and any public report or filing under Section 16 of the Exchange Act shall clearly indicate in the footnotes thereto that (i) the filing relates to such exercise, conversion, vesting or settlement and, if applicable, the related withholding or transfer, (ii) no Securities were sold by the reporting person and (iii) Securities so received (other than any withheld or transferred as described above) are subject to this Letter Agreement with the Representative of the Offering;</w:t>
            </w:r>
          </w:p>
        </w:tc>
      </w:tr>
    </w:tbl>
    <w:p>
      <w:pPr>
        <w:pStyle w:val="TextBody"/>
        <w:bidi w:val="0"/>
        <w:spacing w:before="0" w:after="0"/>
        <w:ind w:left="126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(G)</w:t>
            </w:r>
          </w:p>
        </w:tc>
        <w:tc>
          <w:tcPr>
            <w:tcW w:w="9881" w:type="dxa"/>
            <w:tcBorders/>
            <w:vAlign w:val="center"/>
          </w:tcPr>
          <w:p>
            <w:pPr>
              <w:pStyle w:val="TableContents"/>
              <w:bidi w:val="0"/>
              <w:spacing w:before="0" w:after="283"/>
              <w:jc w:val="left"/>
              <w:rPr/>
            </w:pPr>
            <w:r>
              <w:rPr/>
              <w:t xml:space="preserve">the establishment of a trading plan pursuant to Rule 10b5-1 under the Exchange Act for the transfer of Securities; </w:t>
            </w:r>
            <w:r>
              <w:rPr>
                <w:i/>
              </w:rPr>
              <w:t>provided</w:t>
            </w:r>
            <w:r>
              <w:rPr/>
              <w:t>, that (i) such plan does not provide for the transfer of Securities during the Restricted Period and (ii) to the extent a public announcement or filing under the Exchange Act, if any, is required by or on behalf of the undersigned or the Company regarding the establishment of such plan, such announcement or filing shall include a statement to the effect that no transfer of Securities may be made under such plan during the Restricted Period;</w:t>
            </w:r>
          </w:p>
        </w:tc>
      </w:tr>
    </w:tbl>
    <w:p>
      <w:pPr>
        <w:pStyle w:val="TextBody"/>
        <w:bidi w:val="0"/>
        <w:spacing w:before="0" w:after="0"/>
        <w:ind w:left="1260" w:right="0" w:hanging="540"/>
        <w:jc w:val="both"/>
        <w:rPr/>
      </w:pPr>
      <w:r>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(H)</w:t>
            </w:r>
          </w:p>
        </w:tc>
        <w:tc>
          <w:tcPr>
            <w:tcW w:w="9885" w:type="dxa"/>
            <w:tcBorders/>
            <w:vAlign w:val="center"/>
          </w:tcPr>
          <w:p>
            <w:pPr>
              <w:pStyle w:val="TableContents"/>
              <w:bidi w:val="0"/>
              <w:spacing w:before="0" w:after="283"/>
              <w:jc w:val="left"/>
              <w:rPr/>
            </w:pPr>
            <w:r>
              <w:rPr/>
              <w:t xml:space="preserve">pursuant to a </w:t>
            </w:r>
            <w:r>
              <w:rPr>
                <w:i/>
              </w:rPr>
              <w:t>bona fide</w:t>
            </w:r>
            <w:r>
              <w:rPr/>
              <w:t xml:space="preserve"> third party tender offer for all outstanding Securities of the Company, merger, consolidation or other similar transaction approved by the Company’s Board of Directors and made to all holders of the Company’s securities involving a Change of Control of the Company (including, without limitation, the entering into of any lock-up, voting or similar agreement pursuant to which the undersigned may agree to transfer, sell, tender or otherwise dispose of Securities or other such securities in connection with such transaction, or vote any Securities or other such securities in favor of any such transaction); </w:t>
            </w:r>
            <w:r>
              <w:rPr>
                <w:i/>
              </w:rPr>
              <w:t>provided</w:t>
            </w:r>
            <w:r>
              <w:rPr/>
              <w:t>, that in the event that such tender offer, merger, consolidation or other such transaction is not completed, such securities held by the undersigned shall remain subject to the provisions of this Letter Agreement;</w:t>
            </w:r>
          </w:p>
        </w:tc>
      </w:tr>
    </w:tbl>
    <w:p>
      <w:pPr>
        <w:pStyle w:val="TextBody"/>
        <w:bidi w:val="0"/>
        <w:spacing w:before="0" w:after="0"/>
        <w:ind w:left="126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left"/>
              <w:rPr/>
            </w:pPr>
            <w:r>
              <w:rPr/>
              <w:t>transfers or forfeitures of Securities to the Company, including without limitation upon the vesting or forfeiture of restricted share units, restricted shares, options or other equity awards, in connection with the termination of the undersigned’s employment or other service relationship with the Company, in each case pursuant to contractual arrangements in effect prior to the date of this Letter Agreement or approved by the Company’s Board of Directors; and</w:t>
            </w:r>
          </w:p>
        </w:tc>
      </w:tr>
    </w:tbl>
    <w:p>
      <w:pPr>
        <w:pStyle w:val="TextBody"/>
        <w:bidi w:val="0"/>
        <w:spacing w:before="0" w:after="0"/>
        <w:ind w:left="126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(J)</w:t>
            </w:r>
          </w:p>
        </w:tc>
        <w:tc>
          <w:tcPr>
            <w:tcW w:w="9974" w:type="dxa"/>
            <w:tcBorders/>
            <w:vAlign w:val="center"/>
          </w:tcPr>
          <w:p>
            <w:pPr>
              <w:pStyle w:val="TableContents"/>
              <w:bidi w:val="0"/>
              <w:spacing w:before="0" w:after="283"/>
              <w:jc w:val="left"/>
              <w:rPr/>
            </w:pPr>
            <w:r>
              <w:rPr/>
              <w:t xml:space="preserve">transfers of Securities or any security convertible into or exercisable or exchangeable for Securities as bona fide collateral or security to a financial institution pursuant to a bona fide loan, credit facility or other financing arrangement, and any transfer or disposition of such Securities upon a bona fide foreclosure or default under such arrangement; </w:t>
            </w:r>
            <w:r>
              <w:rPr>
                <w:i/>
              </w:rPr>
              <w:t>provided</w:t>
            </w:r>
            <w:r>
              <w:rPr/>
              <w:t>, that no filing under Section 16(a) of the Exchange Act or other public announcement or filing shall be voluntarily made in connection with such pledge during the Restricted Period, and any filing under Section 16(a) of the Exchange Act reporting a reduction in beneficial ownership in connection with such pledge or any foreclosure thereon shall clearly indicate in the footnotes thereto the nature of such transfer;</w:t>
            </w:r>
          </w:p>
        </w:tc>
      </w:tr>
    </w:tbl>
    <w:p>
      <w:pPr>
        <w:pStyle w:val="TextBody"/>
        <w:bidi w:val="0"/>
        <w:spacing w:before="0" w:after="0"/>
        <w:ind w:left="1260" w:right="0" w:hanging="540"/>
        <w:jc w:val="both"/>
        <w:rPr/>
      </w:pPr>
      <w:r>
        <w:rPr/>
        <w:t> </w:t>
      </w:r>
    </w:p>
    <w:p>
      <w:pPr>
        <w:pStyle w:val="TextBody"/>
        <w:bidi w:val="0"/>
        <w:spacing w:before="0" w:after="0"/>
        <w:ind w:left="0" w:right="0" w:hanging="0"/>
        <w:jc w:val="both"/>
        <w:rPr>
          <w:sz w:val="20"/>
        </w:rPr>
      </w:pPr>
      <w:r>
        <w:rPr>
          <w:i/>
          <w:sz w:val="20"/>
        </w:rPr>
        <w:t>provided</w:t>
      </w:r>
      <w:r>
        <w:rPr>
          <w:sz w:val="20"/>
        </w:rPr>
        <w:t xml:space="preserve">, that in the case of any transfer or distribution pursuant to clause (A), (B) or (D), each donee or distributee shall execute and deliver to the Representative a lock-up letter in the form of this Letter Agreement; </w:t>
      </w:r>
      <w:r>
        <w:rPr>
          <w:i/>
          <w:sz w:val="20"/>
        </w:rPr>
        <w:t>provided further</w:t>
      </w:r>
      <w:r>
        <w:rPr>
          <w:sz w:val="20"/>
        </w:rPr>
        <w:t xml:space="preserve">, that in the case of any transfer or distribution pursuant to clause (A), (B) or (D), no filing by any party (donor, donee, transferor or transferee) under the Exchange Act or other public announcement shall be required or shall be made voluntarily in connection with such transfer or distribution, other than (x) a filing on a Form 5 made after the expiration of the Restricted Period referred to above, or (y) in the case of a transfer or disposition pursuant to clause (A) or (B) above, any Form 4 or Form 5 required to be filed under the Exchange Act if the undersigned is subject to Section 16 reporting with respect to the Company under the Exchange Act, indicating by footnote disclosure or otherwise the nature of the transfer or the disposition; </w:t>
      </w:r>
      <w:r>
        <w:rPr>
          <w:i/>
          <w:sz w:val="20"/>
        </w:rPr>
        <w:t>provided further</w:t>
      </w:r>
      <w:r>
        <w:rPr>
          <w:sz w:val="20"/>
        </w:rPr>
        <w:t>, in the case of clauses (B) and (D), any such transfer shall not involve a disposition for value.</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undersigned acknowledges and agrees that the Underwriters have not provided any recommendation or investment advice nor have the Underwriters solicited any action from the undersigned with respect to the Offering of the Securities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in connection with the Offering, the Representative and the other Underwriters are not making a recommendation to enter into this Letter Agreement, and nothing set forth in such disclosures is intended to suggest that the Representative or any Underwriter is making such a recommendation.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undersigned understands that, if (i) either the Company notifies or the Representative notifies the other in writing prior to the execution of the Underwriting Agreement that it does not intend to proceed with the Offering, (ii) the Underwriting Agreement does not become effective by the end of the Restricted Period, or (iii) if the Underwriting Agreement (other than the provisions thereof which survive termination) shall terminate or be terminated prior to payment for and delivery of the Securities to be sold thereunder, the undersigned shall be released from all obligations under this Letter Agreement. The undersigned understands that the Representative is entering into the Underwriting Agreement and proceeding with the Offering in reliance upon this Letter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pStyle w:val="TextBody"/>
        <w:bidi w:val="0"/>
        <w:spacing w:before="0" w:after="0"/>
        <w:ind w:left="0" w:right="0" w:firstLine="720"/>
        <w:jc w:val="both"/>
        <w:rPr/>
      </w:pPr>
      <w:r>
        <w:rPr/>
        <w:t> </w:t>
      </w:r>
    </w:p>
    <w:p>
      <w:pPr>
        <w:pStyle w:val="TextBody"/>
        <w:bidi w:val="0"/>
        <w:spacing w:before="0" w:after="0"/>
        <w:ind w:left="0" w:right="0" w:hanging="0"/>
        <w:jc w:val="center"/>
        <w:rPr>
          <w:sz w:val="20"/>
        </w:rPr>
      </w:pPr>
      <w:r>
        <w:rPr>
          <w:sz w:val="20"/>
        </w:rPr>
        <w:t>[</w:t>
      </w:r>
      <w:r>
        <w:rPr>
          <w:i/>
          <w:sz w:val="20"/>
        </w:rPr>
        <w:t>Signature Page Follows</w:t>
      </w:r>
      <w:r>
        <w:rPr>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Very truly yours,</w:t>
      </w:r>
    </w:p>
    <w:p>
      <w:pPr>
        <w:pStyle w:val="TextBody"/>
        <w:bidi w:val="0"/>
        <w:spacing w:before="0" w:after="0"/>
        <w:ind w:left="0" w:right="0" w:hanging="0"/>
        <w:jc w:val="left"/>
        <w:rPr/>
      </w:pPr>
      <w:r>
        <w:rPr/>
        <w:t> </w:t>
      </w:r>
    </w:p>
    <w:p>
      <w:pPr>
        <w:pStyle w:val="TextBody"/>
        <w:bidi w:val="0"/>
        <w:spacing w:before="0" w:after="0"/>
        <w:ind w:left="0" w:right="0" w:hanging="0"/>
        <w:jc w:val="both"/>
        <w:rPr>
          <w:spacing w:val="-2"/>
          <w:sz w:val="20"/>
        </w:rPr>
      </w:pPr>
      <w:r>
        <w:rPr>
          <w:spacing w:val="-2"/>
          <w:sz w:val="20"/>
        </w:rPr>
        <w:t>________________________________________</w:t>
      </w:r>
    </w:p>
    <w:p>
      <w:pPr>
        <w:pStyle w:val="TextBody"/>
        <w:bidi w:val="0"/>
        <w:spacing w:before="0" w:after="0"/>
        <w:ind w:left="0" w:right="0" w:hanging="0"/>
        <w:jc w:val="both"/>
        <w:rPr>
          <w:spacing w:val="-2"/>
          <w:sz w:val="20"/>
        </w:rPr>
      </w:pPr>
      <w:r>
        <w:rPr>
          <w:spacing w:val="-2"/>
          <w:sz w:val="20"/>
        </w:rPr>
        <w:t xml:space="preserve">Name of Security Holder </w:t>
      </w:r>
      <w:r>
        <w:rPr>
          <w:i/>
          <w:spacing w:val="-2"/>
          <w:sz w:val="20"/>
        </w:rPr>
        <w:t>(Print exact name</w:t>
      </w:r>
      <w:r>
        <w:rPr>
          <w:spacing w:val="-2"/>
          <w:sz w:val="20"/>
        </w:rPr>
        <w:t xml:space="preserve">) </w:t>
      </w:r>
    </w:p>
    <w:p>
      <w:pPr>
        <w:pStyle w:val="TextBody"/>
        <w:bidi w:val="0"/>
        <w:spacing w:before="0" w:after="0"/>
        <w:ind w:left="0" w:right="0" w:hanging="0"/>
        <w:jc w:val="both"/>
        <w:rPr>
          <w:spacing w:val="-2"/>
        </w:rPr>
      </w:pPr>
      <w:r>
        <w:rPr>
          <w:spacing w:val="-2"/>
        </w:rPr>
        <w:t> </w:t>
      </w:r>
    </w:p>
    <w:p>
      <w:pPr>
        <w:pStyle w:val="TextBody"/>
        <w:bidi w:val="0"/>
        <w:spacing w:before="0" w:after="0"/>
        <w:ind w:left="0" w:right="0" w:hanging="0"/>
        <w:jc w:val="both"/>
        <w:rPr>
          <w:spacing w:val="-2"/>
        </w:rPr>
      </w:pPr>
      <w:r>
        <w:rPr>
          <w:spacing w:val="-2"/>
        </w:rPr>
        <w:t> </w:t>
      </w:r>
    </w:p>
    <w:p>
      <w:pPr>
        <w:pStyle w:val="TextBody"/>
        <w:bidi w:val="0"/>
        <w:spacing w:before="0" w:after="0"/>
        <w:ind w:left="0" w:right="0" w:hanging="0"/>
        <w:jc w:val="both"/>
        <w:rPr>
          <w:spacing w:val="-2"/>
          <w:sz w:val="20"/>
        </w:rPr>
      </w:pPr>
      <w:r>
        <w:rPr>
          <w:spacing w:val="-2"/>
          <w:sz w:val="20"/>
        </w:rPr>
        <w:t>By: _______________________________________</w:t>
      </w:r>
    </w:p>
    <w:p>
      <w:pPr>
        <w:pStyle w:val="TextBody"/>
        <w:bidi w:val="0"/>
        <w:spacing w:before="0" w:after="0"/>
        <w:ind w:left="720" w:right="0" w:firstLine="720"/>
        <w:jc w:val="both"/>
        <w:rPr>
          <w:i/>
          <w:spacing w:val="-2"/>
          <w:sz w:val="20"/>
        </w:rPr>
      </w:pPr>
      <w:r>
        <w:rPr>
          <w:i/>
          <w:spacing w:val="-2"/>
          <w:sz w:val="20"/>
        </w:rPr>
        <w:t>(Signature)</w:t>
      </w:r>
    </w:p>
    <w:p>
      <w:pPr>
        <w:pStyle w:val="TextBody"/>
        <w:bidi w:val="0"/>
        <w:spacing w:before="0" w:after="0"/>
        <w:ind w:left="720" w:right="0" w:firstLine="720"/>
        <w:jc w:val="both"/>
        <w:rPr>
          <w:spacing w:val="-2"/>
        </w:rPr>
      </w:pPr>
      <w:r>
        <w:rPr>
          <w:spacing w:val="-2"/>
        </w:rPr>
        <w:t> </w:t>
      </w:r>
    </w:p>
    <w:p>
      <w:pPr>
        <w:pStyle w:val="TextBody"/>
        <w:bidi w:val="0"/>
        <w:spacing w:before="0" w:after="0"/>
        <w:ind w:left="0" w:right="0" w:hanging="0"/>
        <w:jc w:val="both"/>
        <w:rPr>
          <w:sz w:val="20"/>
        </w:rPr>
      </w:pPr>
      <w:r>
        <w:rPr>
          <w:sz w:val="20"/>
        </w:rPr>
        <w:t>If not signing in an individual capacity:</w:t>
      </w:r>
    </w:p>
    <w:p>
      <w:pPr>
        <w:pStyle w:val="TextBody"/>
        <w:bidi w:val="0"/>
        <w:spacing w:before="0" w:after="0"/>
        <w:ind w:left="0" w:right="0" w:hanging="0"/>
        <w:jc w:val="both"/>
        <w:rPr/>
      </w:pPr>
      <w:r>
        <w:rPr/>
        <w:t> </w:t>
      </w:r>
    </w:p>
    <w:p>
      <w:pPr>
        <w:pStyle w:val="TextBody"/>
        <w:bidi w:val="0"/>
        <w:spacing w:before="0" w:after="0"/>
        <w:ind w:left="0" w:right="0" w:hanging="0"/>
        <w:jc w:val="both"/>
        <w:rPr>
          <w:spacing w:val="-2"/>
          <w:sz w:val="20"/>
        </w:rPr>
      </w:pPr>
      <w:r>
        <w:rPr>
          <w:spacing w:val="-2"/>
          <w:sz w:val="20"/>
        </w:rPr>
        <w:t>________________________________________</w:t>
      </w:r>
    </w:p>
    <w:p>
      <w:pPr>
        <w:pStyle w:val="TextBody"/>
        <w:bidi w:val="0"/>
        <w:spacing w:before="0" w:after="0"/>
        <w:ind w:left="0" w:right="0" w:hanging="0"/>
        <w:jc w:val="both"/>
        <w:rPr>
          <w:spacing w:val="-2"/>
          <w:sz w:val="20"/>
        </w:rPr>
      </w:pPr>
      <w:r>
        <w:rPr>
          <w:spacing w:val="-2"/>
          <w:sz w:val="20"/>
        </w:rPr>
        <w:t xml:space="preserve">Name of Authorized Signatory </w:t>
      </w:r>
      <w:r>
        <w:rPr>
          <w:i/>
          <w:spacing w:val="-2"/>
          <w:sz w:val="20"/>
        </w:rPr>
        <w:t>(Print</w:t>
      </w:r>
      <w:r>
        <w:rPr>
          <w:spacing w:val="-2"/>
          <w:sz w:val="20"/>
        </w:rPr>
        <w:t>)</w:t>
      </w:r>
    </w:p>
    <w:p>
      <w:pPr>
        <w:pStyle w:val="TextBody"/>
        <w:bidi w:val="0"/>
        <w:spacing w:before="0" w:after="0"/>
        <w:ind w:left="0" w:right="0" w:hanging="0"/>
        <w:jc w:val="both"/>
        <w:rPr>
          <w:spacing w:val="-2"/>
        </w:rPr>
      </w:pPr>
      <w:r>
        <w:rPr>
          <w:spacing w:val="-2"/>
        </w:rPr>
        <w:t> </w:t>
      </w:r>
    </w:p>
    <w:p>
      <w:pPr>
        <w:pStyle w:val="TextBody"/>
        <w:bidi w:val="0"/>
        <w:spacing w:before="0" w:after="0"/>
        <w:ind w:left="0" w:right="0" w:hanging="0"/>
        <w:jc w:val="both"/>
        <w:rPr>
          <w:spacing w:val="-2"/>
          <w:sz w:val="20"/>
        </w:rPr>
      </w:pPr>
      <w:r>
        <w:rPr>
          <w:spacing w:val="-2"/>
          <w:sz w:val="20"/>
        </w:rPr>
        <w:t>________________________________________</w:t>
      </w:r>
    </w:p>
    <w:p>
      <w:pPr>
        <w:pStyle w:val="TextBody"/>
        <w:bidi w:val="0"/>
        <w:spacing w:before="0" w:after="0"/>
        <w:ind w:left="0" w:right="0" w:hanging="0"/>
        <w:jc w:val="both"/>
        <w:rPr>
          <w:sz w:val="20"/>
        </w:rPr>
      </w:pPr>
      <w:r>
        <w:rPr>
          <w:sz w:val="20"/>
        </w:rPr>
        <w:t xml:space="preserve">Title of Authorized Signatory </w:t>
      </w:r>
      <w:r>
        <w:rPr>
          <w:i/>
          <w:sz w:val="20"/>
        </w:rPr>
        <w:t>(Print</w:t>
      </w:r>
      <w:r>
        <w:rPr>
          <w:sz w:val="20"/>
        </w:rPr>
        <w:t>)</w:t>
      </w:r>
    </w:p>
    <w:p>
      <w:pPr>
        <w:pStyle w:val="TextBody"/>
        <w:bidi w:val="0"/>
        <w:spacing w:before="0" w:after="0"/>
        <w:ind w:left="0" w:right="0" w:hanging="0"/>
        <w:jc w:val="left"/>
        <w:rPr>
          <w:i/>
          <w:sz w:val="20"/>
        </w:rPr>
      </w:pPr>
      <w:r>
        <w:rPr>
          <w:i/>
          <w:sz w:val="20"/>
        </w:rPr>
        <w:t>(indicate capacity of person signing if signing as custodian, trustee, or on behalf of an entity)</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u w:val="single"/>
        </w:rPr>
      </w:pPr>
      <w:r>
        <w:rPr>
          <w:b/>
          <w:sz w:val="20"/>
          <w:u w:val="single"/>
        </w:rPr>
        <w:t>Annex A</w:t>
      </w:r>
    </w:p>
    <w:p>
      <w:pPr>
        <w:pStyle w:val="TextBody"/>
        <w:bidi w:val="0"/>
        <w:spacing w:before="0" w:after="0"/>
        <w:ind w:left="0" w:right="0" w:hanging="0"/>
        <w:jc w:val="center"/>
        <w:rPr>
          <w:b/>
          <w:sz w:val="20"/>
          <w:u w:val="single"/>
        </w:rPr>
      </w:pPr>
      <w:r>
        <w:rPr>
          <w:b/>
          <w:sz w:val="20"/>
          <w:u w:val="single"/>
        </w:rPr>
        <w:t>Certain Defined Terms Used in this Lock-up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For purposes of this Letter Agreement to which this Annex A is attached and of which it is made a part:</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b/>
          <w:sz w:val="20"/>
        </w:rPr>
        <w:t>Change of Control</w:t>
      </w:r>
      <w:r>
        <w:rPr>
          <w:sz w:val="20"/>
        </w:rPr>
        <w:t xml:space="preserve">” means the consummation of any </w:t>
      </w:r>
      <w:r>
        <w:rPr>
          <w:i/>
          <w:sz w:val="20"/>
        </w:rPr>
        <w:t>bona fide</w:t>
      </w:r>
      <w:r>
        <w:rPr>
          <w:sz w:val="20"/>
        </w:rPr>
        <w:t xml:space="preserve"> third party tender offer, merger, consolidation or other similar transaction, the result of which is that any “person” (as defined in Section 13(d)(3) of the Exchange Act), or group of persons, other than the Company or its subsidiaries, becomes the beneficial owner (as defined in Rules 13d-3 and 13d-5 of the Exchange Act) of at least 50% of the total voting power of the voting share capital of the Company.</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b/>
          <w:sz w:val="20"/>
        </w:rPr>
        <w:t>Exchange Act</w:t>
      </w:r>
      <w:r>
        <w:rPr>
          <w:sz w:val="20"/>
        </w:rPr>
        <w:t>” shall mean the Securities Exchange Act of 1934, as amended.</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b/>
          <w:sz w:val="20"/>
        </w:rPr>
        <w:t>Family Member</w:t>
      </w:r>
      <w:r>
        <w:rPr>
          <w:sz w:val="20"/>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b/>
          <w:sz w:val="20"/>
        </w:rPr>
        <w:t>Immediate family member</w:t>
      </w:r>
      <w:r>
        <w:rPr>
          <w:sz w:val="20"/>
        </w:rPr>
        <w:t>” as used above shall have the meaning set forth in Rule 16a-1(e) under the Exchange Act.</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w:t>
      </w:r>
      <w:r>
        <w:rPr>
          <w:b/>
          <w:sz w:val="20"/>
        </w:rPr>
        <w:t>Securities Act</w:t>
      </w:r>
      <w:r>
        <w:rPr>
          <w:sz w:val="20"/>
        </w:rPr>
        <w:t>” shall mean the Securities Act of 1933, as amended.</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Capitalized terms not defined in this Annex A shall have the meanings given to them in the body of this Letter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00" w:right="82" w:hanging="0"/>
        <w:jc w:val="both"/>
        <w:rPr/>
      </w:pPr>
      <w:r>
        <w:rPr/>
        <w:t> </w:t>
      </w:r>
    </w:p>
    <w:p>
      <w:pPr>
        <w:pStyle w:val="TextBody"/>
        <w:bidi w:val="0"/>
        <w:jc w:val="right"/>
        <w:rPr>
          <w:b/>
        </w:rPr>
      </w:pPr>
      <w:bookmarkStart w:id="24" w:name="exh_41.htm"/>
      <w:bookmarkStart w:id="25" w:name="ksexh_41"/>
      <w:bookmarkEnd w:id="24"/>
      <w:bookmarkEnd w:id="25"/>
      <w:r>
        <w:rPr>
          <w:b/>
        </w:rPr>
        <w:t>Exhibit 4.1</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 xml:space="preserve">COMMON SHARE PURCHASE WARRANT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EDESA BIOTECH INC.</w:t>
      </w:r>
    </w:p>
    <w:tbl>
      <w:tblPr>
        <w:tblW w:w="4345" w:type="dxa"/>
        <w:jc w:val="left"/>
        <w:tblInd w:w="0" w:type="dxa"/>
        <w:tblLayout w:type="fixed"/>
        <w:tblCellMar>
          <w:top w:w="0" w:type="dxa"/>
          <w:left w:w="0" w:type="dxa"/>
          <w:bottom w:w="0" w:type="dxa"/>
          <w:right w:w="0" w:type="dxa"/>
        </w:tblCellMar>
      </w:tblPr>
      <w:tblGrid>
        <w:gridCol w:w="1685"/>
        <w:gridCol w:w="60"/>
        <w:gridCol w:w="2600"/>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sz w:val="20"/>
              </w:rPr>
            </w:pPr>
            <w:r>
              <w:rPr>
                <w:sz w:val="20"/>
              </w:rPr>
              <w:t>Warrant Shares: [__]</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right"/>
              <w:rPr>
                <w:sz w:val="20"/>
              </w:rPr>
            </w:pPr>
            <w:r>
              <w:rPr>
                <w:sz w:val="20"/>
              </w:rPr>
              <w:t>Issuance Date: August 21, 2026</w:t>
            </w:r>
          </w:p>
        </w:tc>
      </w:tr>
    </w:tbl>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THIS WARRANT TO PURCHASE COMMON SHARES (the “</w:t>
      </w:r>
      <w:r>
        <w:rPr>
          <w:sz w:val="20"/>
          <w:u w:val="single"/>
        </w:rPr>
        <w:t>Warrant</w:t>
      </w:r>
      <w:r>
        <w:rPr>
          <w:sz w:val="20"/>
        </w:rPr>
        <w:t>”) certifies that, for value received, [______] or its assigns (the “</w:t>
      </w:r>
      <w:r>
        <w:rPr>
          <w:sz w:val="20"/>
          <w:u w:val="single"/>
        </w:rPr>
        <w:t>Holder</w:t>
      </w:r>
      <w:r>
        <w:rPr>
          <w:sz w:val="20"/>
        </w:rPr>
        <w:t>”) is entitled, upon the terms and subject to the limitations on exercise and the conditions hereinafter set forth, at any time on or after the date hereof (the “</w:t>
      </w:r>
      <w:r>
        <w:rPr>
          <w:sz w:val="20"/>
          <w:u w:val="single"/>
        </w:rPr>
        <w:t>Initial Exercise Date</w:t>
      </w:r>
      <w:r>
        <w:rPr>
          <w:sz w:val="20"/>
        </w:rPr>
        <w:t>”) and on or prior to 5:00 p.m. (New York City time) on the earlier of (i) February 21, 2028 and (ii) the 30</w:t>
      </w:r>
      <w:r>
        <w:rPr>
          <w:position w:val="7"/>
          <w:sz w:val="16"/>
          <w:sz w:val="20"/>
        </w:rPr>
        <w:t>th</w:t>
      </w:r>
      <w:r>
        <w:rPr>
          <w:sz w:val="20"/>
        </w:rPr>
        <w:t xml:space="preserve"> day following the date of the Milestone Event, provided that, if such date falls on a day other than a Trading Day, the next day (such earlier date, the “</w:t>
      </w:r>
      <w:r>
        <w:rPr>
          <w:sz w:val="20"/>
          <w:u w:val="single"/>
        </w:rPr>
        <w:t>Termination Date</w:t>
      </w:r>
      <w:r>
        <w:rPr>
          <w:sz w:val="20"/>
        </w:rPr>
        <w:t>”) but not thereafter, to subscribe for and purchase from Edesa Biotech Inc., a British Columbia corporation (the “</w:t>
      </w:r>
      <w:r>
        <w:rPr>
          <w:sz w:val="20"/>
          <w:u w:val="single"/>
        </w:rPr>
        <w:t>Company</w:t>
      </w:r>
      <w:r>
        <w:rPr>
          <w:sz w:val="20"/>
        </w:rPr>
        <w:t>”), up to [__] common shares, no par value, of the Company (the “</w:t>
      </w:r>
      <w:r>
        <w:rPr>
          <w:sz w:val="20"/>
          <w:u w:val="single"/>
        </w:rPr>
        <w:t>Common Shares</w:t>
      </w:r>
      <w:r>
        <w:rPr>
          <w:sz w:val="20"/>
        </w:rPr>
        <w:t>”) (as subject to adjustment hereunder, the “</w:t>
      </w:r>
      <w:r>
        <w:rPr>
          <w:sz w:val="20"/>
          <w:u w:val="single"/>
        </w:rPr>
        <w:t>Warrant Shares</w:t>
      </w:r>
      <w:r>
        <w:rPr>
          <w:sz w:val="20"/>
        </w:rPr>
        <w:t>”). The purchase price of one Common Share under this Warrant shall be equal to the Exercise Price, as defined in Section 1(b). As used herein, “</w:t>
      </w:r>
      <w:r>
        <w:rPr>
          <w:sz w:val="20"/>
          <w:u w:val="single"/>
        </w:rPr>
        <w:t>Milestone Event</w:t>
      </w:r>
      <w:r>
        <w:rPr>
          <w:sz w:val="20"/>
        </w:rPr>
        <w:t>” means the public announcement via press release or the filing of a Current Report on Form 8-K of Phase 2 vitiligo topline data for EB06. The Company shall provide written notice to the Holder within five (5) Trading Days of the occurrence of the Milestone Event. This Warrant has been issued pursuant to the terms of the Underwriting Agreement, dated August 19, 2026, between the Company and Guggenheim Securities, LLC, as the representative of the several underwriters named therein.</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 xml:space="preserve">Section 1. </w:t>
      </w:r>
      <w:r>
        <w:rPr>
          <w:sz w:val="20"/>
          <w:u w:val="single"/>
        </w:rPr>
        <w:t>Exercise</w:t>
      </w:r>
      <w:r>
        <w:rPr>
          <w:sz w:val="20"/>
        </w:rPr>
        <w:t>.</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sz w:val="20"/>
        </w:rPr>
        <w:t xml:space="preserve">(a) </w:t>
      </w:r>
      <w:r>
        <w:rPr>
          <w:sz w:val="20"/>
          <w:u w:val="single"/>
        </w:rPr>
        <w:t>Exercise of Warrant</w:t>
      </w:r>
      <w:r>
        <w:rPr>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sz w:val="20"/>
          <w:u w:val="single"/>
        </w:rPr>
        <w:t>Notice of Exercise</w:t>
      </w:r>
      <w:r>
        <w:rPr>
          <w:sz w:val="20"/>
        </w:rPr>
        <w:t xml:space="preserve">”). Within the earlier of (i) one (1) Trading Day (as defined below) and (ii) the number of Trading Days comprising the Standard Settlement Period (as defined in Section 1(d)(i)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1(c)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receipt of such notice. </w:t>
      </w:r>
      <w:r>
        <w:rPr>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(b) </w:t>
      </w:r>
      <w:r>
        <w:rPr>
          <w:sz w:val="20"/>
          <w:u w:val="single"/>
        </w:rPr>
        <w:t>Exercise Price</w:t>
      </w:r>
      <w:r>
        <w:rPr>
          <w:sz w:val="20"/>
        </w:rPr>
        <w:t>. The exercise price per Common Share under this Warrant shall be $7.50, subject to adjustment hereunder (the “</w:t>
      </w:r>
      <w:r>
        <w:rPr>
          <w:sz w:val="20"/>
          <w:u w:val="single"/>
        </w:rPr>
        <w:t>Exercise Price</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(c) </w:t>
      </w:r>
      <w:r>
        <w:rPr>
          <w:sz w:val="20"/>
          <w:u w:val="single"/>
        </w:rPr>
        <w:t>Cashless Exercise</w:t>
      </w:r>
      <w:r>
        <w:rPr>
          <w:sz w:val="20"/>
        </w:rPr>
        <w:t>. If at the time of exercise of this Warrant there is no effective registration statement registering, or the prospectus contained therein is not available for, or an exemption from registration is not available for, the issuance of the Warrant Shares, then this Warrant may also be exercised, in whole or in part, at such time by means of a “cashless exercise” in which the Holder shall be entitled to receive a number of Warrant Shares equal to the quotient obtained by dividing [(A-B) (X)] by (A), where:</w:t>
      </w:r>
    </w:p>
    <w:tbl>
      <w:tblPr>
        <w:tblW w:w="10205" w:type="dxa"/>
        <w:jc w:val="left"/>
        <w:tblInd w:w="0" w:type="dxa"/>
        <w:tblLayout w:type="fixed"/>
        <w:tblCellMar>
          <w:top w:w="0" w:type="dxa"/>
          <w:left w:w="0" w:type="dxa"/>
          <w:bottom w:w="0" w:type="dxa"/>
          <w:right w:w="0" w:type="dxa"/>
        </w:tblCellMar>
      </w:tblPr>
      <w:tblGrid>
        <w:gridCol w:w="234"/>
        <w:gridCol w:w="60"/>
        <w:gridCol w:w="125"/>
        <w:gridCol w:w="60"/>
        <w:gridCol w:w="9726"/>
      </w:tblGrid>
      <w:tr>
        <w:trPr/>
        <w:tc>
          <w:tcPr>
            <w:tcW w:w="2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283"/>
              <w:ind w:left="0" w:right="0" w:firstLine="400"/>
              <w:jc w:val="left"/>
              <w:rPr/>
            </w:pPr>
            <w:r>
              <w:rPr/>
              <w:t> </w:t>
            </w:r>
          </w:p>
        </w:tc>
      </w:tr>
      <w:tr>
        <w:trPr/>
        <w:tc>
          <w:tcPr>
            <w:tcW w:w="234" w:type="dxa"/>
            <w:tcBorders/>
            <w:vAlign w:val="center"/>
          </w:tcPr>
          <w:p>
            <w:pPr>
              <w:pStyle w:val="TableContents"/>
              <w:bidi w:val="0"/>
              <w:spacing w:before="0" w:after="283"/>
              <w:jc w:val="left"/>
              <w:rPr>
                <w:sz w:val="20"/>
              </w:rPr>
            </w:pPr>
            <w:r>
              <w:rPr>
                <w:sz w:val="20"/>
              </w:rPr>
              <w:t>(A)</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283"/>
              <w:jc w:val="left"/>
              <w:rPr>
                <w:sz w:val="20"/>
              </w:rPr>
            </w:pPr>
            <w:r>
              <w:rPr>
                <w:sz w:val="20"/>
              </w:rPr>
              <w:t>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Shares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tc>
      </w:tr>
      <w:tr>
        <w:trPr/>
        <w:tc>
          <w:tcPr>
            <w:tcW w:w="234" w:type="dxa"/>
            <w:tcBorders/>
            <w:vAlign w:val="center"/>
          </w:tcPr>
          <w:p>
            <w:pPr>
              <w:pStyle w:val="TableContents"/>
              <w:bidi w:val="0"/>
              <w:spacing w:before="0" w:after="283"/>
              <w:jc w:val="left"/>
              <w:rPr/>
            </w:pPr>
            <w:r>
              <w:rPr/>
              <w:t> </w:t>
            </w:r>
          </w:p>
        </w:tc>
        <w:tc>
          <w:tcPr>
            <w:tcW w:w="185" w:type="dxa"/>
            <w:gridSpan w:val="2"/>
            <w:tcBorders/>
            <w:vAlign w:val="center"/>
          </w:tcPr>
          <w:p>
            <w:pPr>
              <w:pStyle w:val="TableContents"/>
              <w:bidi w:val="0"/>
              <w:spacing w:before="0" w:after="283"/>
              <w:jc w:val="left"/>
              <w:rPr/>
            </w:pPr>
            <w:r>
              <w:rPr/>
              <w:t> </w:t>
            </w:r>
          </w:p>
        </w:tc>
        <w:tc>
          <w:tcPr>
            <w:tcW w:w="9786" w:type="dxa"/>
            <w:gridSpan w:val="2"/>
            <w:tcBorders/>
            <w:vAlign w:val="center"/>
          </w:tcPr>
          <w:p>
            <w:pPr>
              <w:pStyle w:val="TableContents"/>
              <w:bidi w:val="0"/>
              <w:spacing w:before="0" w:after="283"/>
              <w:ind w:left="0" w:right="0" w:firstLine="400"/>
              <w:jc w:val="left"/>
              <w:rPr/>
            </w:pPr>
            <w:r>
              <w:rPr/>
              <w:t> </w:t>
            </w:r>
          </w:p>
        </w:tc>
      </w:tr>
      <w:tr>
        <w:trPr/>
        <w:tc>
          <w:tcPr>
            <w:tcW w:w="234" w:type="dxa"/>
            <w:tcBorders/>
            <w:vAlign w:val="center"/>
          </w:tcPr>
          <w:p>
            <w:pPr>
              <w:pStyle w:val="TableContents"/>
              <w:bidi w:val="0"/>
              <w:spacing w:before="0" w:after="283"/>
              <w:jc w:val="left"/>
              <w:rPr>
                <w:sz w:val="20"/>
              </w:rPr>
            </w:pPr>
            <w:r>
              <w:rPr>
                <w:sz w:val="20"/>
              </w:rPr>
              <w:t>(B)</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283"/>
              <w:jc w:val="left"/>
              <w:rPr>
                <w:sz w:val="20"/>
              </w:rPr>
            </w:pPr>
            <w:r>
              <w:rPr>
                <w:sz w:val="20"/>
              </w:rPr>
              <w:t>the Exercise Price of this Warrant, as adjusted hereunder; and</w:t>
            </w:r>
          </w:p>
        </w:tc>
      </w:tr>
      <w:tr>
        <w:trPr/>
        <w:tc>
          <w:tcPr>
            <w:tcW w:w="234" w:type="dxa"/>
            <w:tcBorders/>
            <w:vAlign w:val="center"/>
          </w:tcPr>
          <w:p>
            <w:pPr>
              <w:pStyle w:val="TableContents"/>
              <w:bidi w:val="0"/>
              <w:spacing w:before="0" w:after="283"/>
              <w:jc w:val="left"/>
              <w:rPr/>
            </w:pPr>
            <w:r>
              <w:rPr/>
              <w:t> </w:t>
            </w:r>
          </w:p>
        </w:tc>
        <w:tc>
          <w:tcPr>
            <w:tcW w:w="185" w:type="dxa"/>
            <w:gridSpan w:val="2"/>
            <w:tcBorders/>
            <w:vAlign w:val="center"/>
          </w:tcPr>
          <w:p>
            <w:pPr>
              <w:pStyle w:val="TableContents"/>
              <w:bidi w:val="0"/>
              <w:spacing w:before="0" w:after="283"/>
              <w:jc w:val="left"/>
              <w:rPr/>
            </w:pPr>
            <w:r>
              <w:rPr/>
              <w:t> </w:t>
            </w:r>
          </w:p>
        </w:tc>
        <w:tc>
          <w:tcPr>
            <w:tcW w:w="9786" w:type="dxa"/>
            <w:gridSpan w:val="2"/>
            <w:tcBorders/>
            <w:vAlign w:val="center"/>
          </w:tcPr>
          <w:p>
            <w:pPr>
              <w:pStyle w:val="TableContents"/>
              <w:bidi w:val="0"/>
              <w:spacing w:before="0" w:after="283"/>
              <w:ind w:left="0" w:right="0" w:firstLine="400"/>
              <w:jc w:val="left"/>
              <w:rPr/>
            </w:pPr>
            <w:r>
              <w:rPr/>
              <w:t> </w:t>
            </w:r>
          </w:p>
        </w:tc>
      </w:tr>
      <w:tr>
        <w:trPr/>
        <w:tc>
          <w:tcPr>
            <w:tcW w:w="234" w:type="dxa"/>
            <w:tcBorders/>
            <w:vAlign w:val="center"/>
          </w:tcPr>
          <w:p>
            <w:pPr>
              <w:pStyle w:val="TableContents"/>
              <w:bidi w:val="0"/>
              <w:spacing w:before="0" w:after="283"/>
              <w:jc w:val="left"/>
              <w:rPr>
                <w:sz w:val="20"/>
              </w:rPr>
            </w:pPr>
            <w:r>
              <w:rPr>
                <w:sz w:val="20"/>
              </w:rPr>
              <w:t>(X)</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9726" w:type="dxa"/>
            <w:tcBorders/>
            <w:vAlign w:val="center"/>
          </w:tcPr>
          <w:p>
            <w:pPr>
              <w:pStyle w:val="TableContents"/>
              <w:bidi w:val="0"/>
              <w:spacing w:before="0" w:after="283"/>
              <w:jc w:val="left"/>
              <w:rPr>
                <w:sz w:val="20"/>
              </w:rPr>
            </w:pPr>
            <w:r>
              <w:rPr>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by such Holder to the holding period of such Holder of this Warrant. The Company agrees not to take any position contrary to this paragraph.</w:t>
      </w:r>
    </w:p>
    <w:p>
      <w:pPr>
        <w:pStyle w:val="TextBody"/>
        <w:bidi w:val="0"/>
        <w:spacing w:before="0" w:after="0"/>
        <w:ind w:left="0" w:right="0" w:hanging="0"/>
        <w:jc w:val="left"/>
        <w:rPr/>
      </w:pPr>
      <w:r>
        <w:rPr/>
        <w:t> </w:t>
      </w:r>
    </w:p>
    <w:p>
      <w:pPr>
        <w:pStyle w:val="TextBody"/>
        <w:bidi w:val="0"/>
        <w:spacing w:before="0" w:after="0"/>
        <w:ind w:left="0" w:right="0" w:firstLine="490"/>
        <w:jc w:val="left"/>
        <w:rPr/>
      </w:pPr>
      <w:r>
        <w:rPr/>
        <w:t>“</w:t>
      </w:r>
      <w:r>
        <w:rPr>
          <w:sz w:val="20"/>
          <w:u w:val="single"/>
        </w:rPr>
        <w:t>Bid Price</w:t>
      </w:r>
      <w:r>
        <w:rPr>
          <w:sz w:val="20"/>
        </w:rPr>
        <w:t>” means, for any date, the price determined by the first of the following clauses that applies: (a) if the Common Shares are then listed or quoted on a Trading Market, the bid price of the Common Shares for the time in question (or the nearest preceding date) on the Trading Market on which the Common Shares are then listed or quoted as reported by Bloomberg (based on a Trading Day from 9:30 a.m. (New York City time) to 4:02 p.m. (New York City time)), (b) if OTCQB or OTCQX is not a Trading Market, the volume weighted average price of the Common Shares for such date (or the nearest preceding date) on OTCQB or OTCQX as applicable, (c) if the Common Shares are not then listed or quoted for trading on OTCQB or OTCQX and if prices for the Common Shares are then reported on The Pink Open Market (or a similar organization or agency succeeding to its functions of reporting prices), the most recent bid price per Common Share so reported, or (d) in all other cases, the fair market value of a Common Share as determined by the Board of Directors of the Company in good faith.</w:t>
      </w:r>
    </w:p>
    <w:p>
      <w:pPr>
        <w:pStyle w:val="TextBody"/>
        <w:bidi w:val="0"/>
        <w:spacing w:before="0" w:after="0"/>
        <w:ind w:left="0" w:right="0" w:firstLine="490"/>
        <w:jc w:val="left"/>
        <w:rPr/>
      </w:pPr>
      <w:r>
        <w:rPr/>
        <w:t> </w:t>
      </w:r>
    </w:p>
    <w:p>
      <w:pPr>
        <w:pStyle w:val="TextBody"/>
        <w:bidi w:val="0"/>
        <w:spacing w:before="0" w:after="0"/>
        <w:ind w:left="0" w:right="0" w:firstLine="490"/>
        <w:jc w:val="left"/>
        <w:rPr/>
      </w:pPr>
      <w:r>
        <w:rPr/>
        <w:t>“</w:t>
      </w:r>
      <w:r>
        <w:rPr>
          <w:sz w:val="20"/>
          <w:u w:val="single"/>
        </w:rPr>
        <w:t>Trading Day</w:t>
      </w:r>
      <w:r>
        <w:rPr>
          <w:sz w:val="20"/>
        </w:rPr>
        <w:t>” means a day on which the principal Trading Market is open for trading.</w:t>
      </w:r>
    </w:p>
    <w:p>
      <w:pPr>
        <w:pStyle w:val="TextBody"/>
        <w:bidi w:val="0"/>
        <w:spacing w:before="0" w:after="0"/>
        <w:ind w:left="0" w:right="0" w:firstLine="490"/>
        <w:jc w:val="left"/>
        <w:rPr/>
      </w:pPr>
      <w:r>
        <w:rPr/>
        <w:t> </w:t>
      </w:r>
    </w:p>
    <w:p>
      <w:pPr>
        <w:pStyle w:val="TextBody"/>
        <w:bidi w:val="0"/>
        <w:spacing w:before="0" w:after="0"/>
        <w:ind w:left="0" w:right="0" w:firstLine="490"/>
        <w:jc w:val="left"/>
        <w:rPr/>
      </w:pPr>
      <w:r>
        <w:rPr/>
        <w:t>“</w:t>
      </w:r>
      <w:r>
        <w:rPr>
          <w:sz w:val="20"/>
          <w:u w:val="single"/>
        </w:rPr>
        <w:t>Trading Market</w:t>
      </w:r>
      <w:r>
        <w:rPr>
          <w:sz w:val="20"/>
        </w:rPr>
        <w:t>” means any of the following markets or exchanges on which the Common Shares are listed or quoted for trading on the date in question: the NYSE American, the Nasdaq Capital Market, the Nasdaq Global Market, the Nasdaq Global Select Market, the New York Stock Exchange, the OTCQB or the OTCQX (or any successors to any of the foregoing).</w:t>
      </w:r>
    </w:p>
    <w:p>
      <w:pPr>
        <w:pStyle w:val="TextBody"/>
        <w:bidi w:val="0"/>
        <w:spacing w:before="0" w:after="0"/>
        <w:ind w:left="0" w:right="0" w:firstLine="490"/>
        <w:jc w:val="left"/>
        <w:rPr/>
      </w:pPr>
      <w:r>
        <w:rPr/>
        <w:t> </w:t>
      </w:r>
    </w:p>
    <w:p>
      <w:pPr>
        <w:pStyle w:val="TextBody"/>
        <w:bidi w:val="0"/>
        <w:spacing w:before="0" w:after="0"/>
        <w:ind w:left="0" w:right="0" w:firstLine="490"/>
        <w:jc w:val="left"/>
        <w:rPr/>
      </w:pPr>
      <w:r>
        <w:rPr/>
        <w:t>“</w:t>
      </w:r>
      <w:r>
        <w:rPr>
          <w:sz w:val="20"/>
          <w:u w:val="single"/>
        </w:rPr>
        <w:t>VWAP</w:t>
      </w:r>
      <w:r>
        <w:rPr>
          <w:sz w:val="20"/>
        </w:rPr>
        <w:t>” means, for any date, the price determined by the first of the following clauses that applies: (a) if the Common Shares are then listed or quoted on a Trading Market, the daily volume weighted average price of the Common Shares for such date (or the nearest preceding date) on the Trading Market on which the Common Shares are then listed or quoted as reported by Bloomberg (based on a Trading Day from 9:30 a.m. (New York City time) to 4:00 p.m. (New York City time)), (b) if OTCQB or OTCQX is not a Trading Market, the volume weighted average price of the Common Shares for such date (or the nearest preceding date) on OTCQB or OTCQX as applicable, (c) if the Common Shares are not then listed or quoted for trading on OTCQB or OTCQX and if prices for the Common Shares are then reported in The Pink Open Market (or a similar organization or agency succeeding to its functions of reporting prices), the most recent bid price per Common Share so reported, or (d) in all other cases, the fair market value of a Common Share as determined by the Board of Directors of the Company in good faith.</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(d) </w:t>
      </w:r>
      <w:r>
        <w:rPr>
          <w:sz w:val="20"/>
          <w:u w:val="single"/>
        </w:rPr>
        <w:t>Mechanics of Exercise</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(i) </w:t>
      </w:r>
      <w:r>
        <w:rPr>
          <w:sz w:val="20"/>
          <w:u w:val="single"/>
        </w:rPr>
        <w:t>Delivery of Warrant Shares Upon Exercise</w:t>
      </w:r>
      <w:r>
        <w:rPr>
          <w:sz w:val="20"/>
        </w:rPr>
        <w:t>. The Company shall cause the Warrant Shares purchased hereunder to be delivered by the Transfer Agent to the Holder by crediting the account of the Holder’s or its designee’s balance account with The Depository Trust Company through its Deposit or Withdrawal at Custodian system (“</w:t>
      </w:r>
      <w:r>
        <w:rPr>
          <w:sz w:val="20"/>
          <w:u w:val="single"/>
        </w:rPr>
        <w:t>DWAC</w:t>
      </w:r>
      <w:r>
        <w:rPr>
          <w:sz w:val="20"/>
        </w:rPr>
        <w:t>”) if the Company is then a participant in such system and either (A) there is an effective registration statement permitting the issuance of the Warrant Shares to the Holder or resale of the Warrant Shares (and a concurrent resale is being made) by the Holder or (B) the Warrant Shares are eligible for resale by the Holder without volume or manner-of-sale limitations pursuant to Rule 144 (assuming cashless exercise of the Warrants), in each case, subject to the delivery by the Holder to the Company and its counsel and the Transfer Agent of customary representation letters and such other documents as such person may request, and otherwise by physical delivery of a certificate or a book-entry notation,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sz w:val="20"/>
          <w:u w:val="single"/>
        </w:rPr>
        <w:t>Warrant Share Delivery Date</w:t>
      </w:r>
      <w:r>
        <w:rPr>
          <w:sz w:val="20"/>
        </w:rPr>
        <w:t xml:space="preserve">”); </w:t>
      </w:r>
      <w:r>
        <w:rPr>
          <w:sz w:val="20"/>
          <w:u w:val="single"/>
        </w:rPr>
        <w:t>provided</w:t>
      </w:r>
      <w:r>
        <w:rPr>
          <w:sz w:val="20"/>
        </w:rPr>
        <w:t>, that if any day within the Standard Settlement Period is a day on which banks in British Columbia, Canada are not open for business, the Standard Settlement Period shall be extended by one Trading Day for each such day. Upon delivery of the Notice of Exercise to the Company,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to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Shares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sz w:val="20"/>
          <w:u w:val="single"/>
        </w:rPr>
        <w:t>Standard Settlement Period</w:t>
      </w:r>
      <w:r>
        <w:rPr>
          <w:sz w:val="20"/>
        </w:rPr>
        <w:t>” means the standard settlement period, expressed in a number of Trading Days, on the Company’s primary Trading Market with respect to the Common Shares as in effect on the date of delivery of the Notice of Exercise to the Company.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(ii) </w:t>
      </w:r>
      <w:r>
        <w:rPr>
          <w:sz w:val="20"/>
          <w:u w:val="single"/>
        </w:rPr>
        <w:t>Delivery of New Warrants Upon Exercise</w:t>
      </w:r>
      <w:r>
        <w:rPr>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(iii) </w:t>
      </w:r>
      <w:r>
        <w:rPr>
          <w:sz w:val="20"/>
          <w:u w:val="single"/>
        </w:rPr>
        <w:t>Rescission Rights</w:t>
      </w:r>
      <w:r>
        <w:rPr>
          <w:sz w:val="20"/>
        </w:rPr>
        <w:t>. If the Company fails to cause the Transfer Agent to transmit to the Holder the Warrant Shares pursuant to Section 1(d)(i) by the Warrant Share Delivery Date, then the Holder will have the right to rescind such exercise.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(iv) </w:t>
      </w:r>
      <w:r>
        <w:rPr>
          <w:sz w:val="20"/>
          <w:u w:val="single"/>
        </w:rPr>
        <w:t>No Fractional Shares or Scrip</w:t>
      </w:r>
      <w:r>
        <w:rPr>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(v) </w:t>
      </w:r>
      <w:r>
        <w:rPr>
          <w:sz w:val="20"/>
          <w:u w:val="single"/>
        </w:rPr>
        <w:t>Charges, Taxes and Expenses</w:t>
      </w:r>
      <w:r>
        <w:rPr>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sz w:val="20"/>
          <w:u w:val="single"/>
        </w:rPr>
        <w:t>provided</w:t>
      </w:r>
      <w:r>
        <w:rPr>
          <w:sz w:val="20"/>
        </w:rPr>
        <w:t xml:space="preserve">, </w:t>
      </w:r>
      <w:r>
        <w:rPr>
          <w:sz w:val="20"/>
          <w:u w:val="single"/>
        </w:rPr>
        <w:t>however</w:t>
      </w:r>
      <w:r>
        <w:rPr>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(vi) </w:t>
      </w:r>
      <w:r>
        <w:rPr>
          <w:sz w:val="20"/>
          <w:u w:val="single"/>
        </w:rPr>
        <w:t>Closing of Books</w:t>
      </w:r>
      <w:r>
        <w:rPr>
          <w:sz w:val="20"/>
        </w:rPr>
        <w:t>. The Company will not close its shareholder books or records in any manner which prevents the timely exercise of this Warrant, pursuant to the terms hereof.</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(e) </w:t>
      </w:r>
      <w:r>
        <w:rPr>
          <w:sz w:val="20"/>
          <w:u w:val="single"/>
        </w:rPr>
        <w:t>Holder’s Exercise Limitations</w:t>
      </w:r>
      <w:r>
        <w:rPr>
          <w:sz w:val="20"/>
        </w:rPr>
        <w:t>. Notwithstanding anything to the contrary contained herein, the Company shall not effect the exercise of any portion of this Warrant, and the Holder shall not have the right to exercise any portion of this Warrant, and any such exercise shall be null and void and cancelled ab initio and treated as if the exercise had not been made, to the extent that immediately prior to or following such exercise, the Holder, together with the Attribution Parties, collectively beneficially owns or would beneficially own as determined in accordance with Section 13(d) of the Exchange Act and the rules promulgated thereunder, in excess of [4.99%]/[9.99%] (the “</w:t>
      </w:r>
      <w:r>
        <w:rPr>
          <w:sz w:val="20"/>
          <w:u w:val="single"/>
        </w:rPr>
        <w:t>Maximum Percentage</w:t>
      </w:r>
      <w:r>
        <w:rPr>
          <w:sz w:val="20"/>
        </w:rPr>
        <w:t>”) of the Common Shares that would be issued and outstanding following such exercise. For purposes of calculating beneficial ownership for determining whether the Maximum Percentage is or will be exceeded, the aggregate number of Common Shares held and/or beneficially owned by the Holder together with the Attribution Parties, shall include the number of Common Shares held and/or beneficially owned by the Holder together with the Attribution Parties plus the number of Common Shares issuable upon exercise of this Warrant with respect to which the determination is being made but shall exclude the number of Common Shares which would be issuable upon (i) exercise of the remaining, unexercised portion of this Warrant held and/or beneficially owned by the Holder or the Attribution Parties and (ii) exercise or conversion of the unexercised or unconverted portion of any other securities of the Company held and/or beneficially owned by the Holder or any Attribution Party (including, without limitation, any convertible notes, convertible shares or warrants) that are subject to a limitation on conversion or exercise analogous to the limitation contained herein. For purposes of this Section 1(e),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Common Shares, a Holder may rely on the number of outstanding Common Shares as reflected in (1) the Company’s most recent Form 10-K, Form 10-Q, Current Report on Form 8-K or other public filing with the Commission, as the case may be, (2) a more recent public announcement by the Company or (3) any other notice by the Company or the Transfer Agent setting forth the number of Common Shares outstanding (such issued and outstanding Common Shares, the “</w:t>
      </w:r>
      <w:r>
        <w:rPr>
          <w:sz w:val="20"/>
          <w:u w:val="single"/>
        </w:rPr>
        <w:t>Reported Outstanding Share Number</w:t>
      </w:r>
      <w:r>
        <w:rPr>
          <w:sz w:val="20"/>
        </w:rPr>
        <w:t>”). For any reason at any time, upon the written request of the Holder, the Company shall within one (1) Trading Day confirm in writing to the Holder the number of Common Shares then outstanding. The Holder shall disclose to the Company the number of Common Shares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 Notice of Exercise for the relevant Warrant. If the Company receives a Notice of Exercise from the Holder at a time when the actual number of outstanding Common Shares is less than the Reported Outstanding Share Number, the Company shall (i) notify the Holder in writing of the number of Common Shares then outstanding and, to the extent that such Notice of Exercise would otherwise cause the Holder’s, together with the Attribution Parties’, beneficial ownership, as determined pursuant to this Section 1(e), to exceed the Maximum Percentage, the Holder must notify the Company of a reduced number of Warrant Shares to be purchased pursuant to such Notice of Exercise (the number of shares by which such purchase is reduced, the “</w:t>
      </w:r>
      <w:r>
        <w:rPr>
          <w:sz w:val="20"/>
          <w:u w:val="single"/>
        </w:rPr>
        <w:t>Reduction Shares</w:t>
      </w:r>
      <w:r>
        <w:rPr>
          <w:sz w:val="20"/>
        </w:rPr>
        <w:t>”) and (ii) as soon as reasonably practicable, the Company shall return to the Holder any exercise price paid by the Holder for the Reduction Shares. In any case, the number of outstanding Common Shares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Shares to the Holder upon exercise of this Warrant results in the Holder, together with the Attribution Parties, being deemed to beneficially own, in the aggregate, more than the Maximum Percentage of the number of outstanding Common Shares (as determined under Section 13(d) of the Exchange Act), the number of shares so issued by which the Holder’s, together with the Attribution Parties’, aggregate beneficial ownership exceeds the Maximum Percentage (the “</w:t>
      </w:r>
      <w:r>
        <w:rPr>
          <w:sz w:val="20"/>
          <w:u w:val="single"/>
        </w:rPr>
        <w:t>Excess Shares</w:t>
      </w:r>
      <w:r>
        <w:rPr>
          <w:sz w:val="20"/>
        </w:rPr>
        <w:t>”) shall be deemed null and void and shall be cancelled ab initio, and the Holder and/or the Attribution Parties shall not have the power to vote or to transfer the Excess Shares.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soon as reasonably practicable after the issuance of the Excess Shares has been deemed null and void, the Company shall return to the Holder the exercise price paid by the Holder for the Excess Shares. By written notice to the Company, a Holder may from time to time increase or decrease the Maximum Percentage to any other percentage not in excess of 9.99% specified in such notice; provided, that any increase in the Maximum Percentage will not be effective until the sixty-first (61st) day after such notice is delivered to the Company and shall not negatively affect any partial exercise effected prior to such change. The provisions of this paragraph shall be construed and implemented in a manner otherwise than in strict conformity with the terms of this Section 1(e) to the extent necessary to correct this paragraph or any portion of this paragraph which may be defective or inconsistent with the intended beneficial ownership limitation contained in this Section 1(e) or to make changes or supplements necessary or desirable to properly give effect to such limitation. The limitation contained in this paragraph may not be waived and shall apply to a successor holder of this Warrant. As used herein, “</w:t>
      </w:r>
      <w:r>
        <w:rPr>
          <w:sz w:val="20"/>
          <w:u w:val="single"/>
        </w:rPr>
        <w:t>Affiliate</w:t>
      </w:r>
      <w:r>
        <w:rPr>
          <w:sz w:val="20"/>
        </w:rPr>
        <w:t>” means, with respect to any Person, any other Person that, directly or indirectly through one or more intermediates, controls, is controlled by or is under common control with such Person. “</w:t>
      </w:r>
      <w:r>
        <w:rPr>
          <w:sz w:val="20"/>
          <w:u w:val="single"/>
        </w:rPr>
        <w:t>Attribution Parties</w:t>
      </w:r>
      <w:r>
        <w:rPr>
          <w:sz w:val="20"/>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Shares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r>
        <w:rPr>
          <w:sz w:val="20"/>
          <w:u w:val="single"/>
        </w:rPr>
        <w:t>Commission</w:t>
      </w:r>
      <w:r>
        <w:rPr>
          <w:sz w:val="20"/>
        </w:rPr>
        <w:t>” means the United States Securities and Exchange Commission. “</w:t>
      </w:r>
      <w:r>
        <w:rPr>
          <w:sz w:val="20"/>
          <w:u w:val="single"/>
        </w:rPr>
        <w:t>Exchange Act</w:t>
      </w:r>
      <w:r>
        <w:rPr>
          <w:sz w:val="20"/>
        </w:rPr>
        <w:t>” means the Securities Exchange Act of 1934, as amended. “</w:t>
      </w:r>
      <w:r>
        <w:rPr>
          <w:sz w:val="20"/>
          <w:u w:val="single"/>
        </w:rPr>
        <w:t>Group</w:t>
      </w:r>
      <w:r>
        <w:rPr>
          <w:sz w:val="20"/>
        </w:rPr>
        <w:t>” shall have the meaning ascribed to it in Section 13(d) of the Exchange Act, and all related rules, regulations and jurisprudence. “</w:t>
      </w:r>
      <w:r>
        <w:rPr>
          <w:sz w:val="20"/>
          <w:u w:val="single"/>
        </w:rPr>
        <w:t>Person</w:t>
      </w:r>
      <w:r>
        <w:rPr>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Section 2. </w:t>
      </w:r>
      <w:r>
        <w:rPr>
          <w:sz w:val="20"/>
          <w:u w:val="single"/>
        </w:rPr>
        <w:t>Certain Adjustments</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(a) </w:t>
      </w:r>
      <w:r>
        <w:rPr>
          <w:sz w:val="20"/>
          <w:u w:val="single"/>
        </w:rPr>
        <w:t>Share Dividends and Splits</w:t>
      </w:r>
      <w:r>
        <w:rPr>
          <w:sz w:val="20"/>
        </w:rPr>
        <w:t>. If the Company, at any time while this Warrant is outstanding: (i) pays a share dividend or otherwise makes a distribution or distributions on its Common Shares or any other equity or equity equivalent securities payable in Common Shares (which, for avoidance of doubt, shall not include any Common Shares issued by the Company upon exercise, exchange or conversion of the Warrants or any other warrant or exercisable, exchangeable or convertible securities, and shall not include Purchase Rights for which Section 2(b) shall apply or any distribution of assets for which Section 2(c) shall apply), (ii) subdivides outstanding Common Shares into a larger number of shares, (iii) combines (including by way of reverse share split) outstanding Common Shares into a smaller number of shares, or (iv) issues by reclassification of the Common Shares any shares of share capital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2(a)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(b) </w:t>
      </w:r>
      <w:r>
        <w:rPr>
          <w:sz w:val="20"/>
          <w:u w:val="single"/>
        </w:rPr>
        <w:t>Subsequent Rights Offerings</w:t>
      </w:r>
      <w:r>
        <w:rPr>
          <w:sz w:val="20"/>
        </w:rPr>
        <w:t>. In addition to any adjustments pursuant to Section 2(a) above, if at any time the Company grants, issues or sells any Common Share Equivalents or rights to purchase shares, warrants, securities or other property pro rata to the record holders of any class of Common Shares (the “</w:t>
      </w:r>
      <w:r>
        <w:rPr>
          <w:sz w:val="20"/>
          <w:u w:val="single"/>
        </w:rPr>
        <w:t>Purchase Rights</w:t>
      </w:r>
      <w:r>
        <w:rPr>
          <w:sz w:val="20"/>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that, to the extent that the Holder’s right to participate in any such Purchase Right would result in the Holder exceeding the Maximum Percentage,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Maximum Percentage). As used herein, “</w:t>
      </w:r>
      <w:r>
        <w:rPr>
          <w:sz w:val="20"/>
          <w:u w:val="single"/>
        </w:rPr>
        <w:t>Common Share Equivalents</w:t>
      </w:r>
      <w:r>
        <w:rPr>
          <w:sz w:val="20"/>
        </w:rPr>
        <w:t>” means any securities of the Company which would entitle the holder thereof to acquire at any time Common Shares, including, without limitation, any debt, preferred shares, right, option, warrant or other instrument that is at any time convertible into or exercisable or exchangeable for, or otherwise entitles the holder thereof to receive, Common Shares.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(c) </w:t>
      </w:r>
      <w:r>
        <w:rPr>
          <w:sz w:val="20"/>
          <w:u w:val="single"/>
        </w:rPr>
        <w:t>Pro Rata Distributions</w:t>
      </w:r>
      <w:r>
        <w:rPr>
          <w:sz w:val="20"/>
        </w:rPr>
        <w:t>.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sz w:val="20"/>
          <w:u w:val="single"/>
        </w:rPr>
        <w:t>Distribution</w:t>
      </w:r>
      <w:r>
        <w:rPr>
          <w:sz w:val="20"/>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Common Shares are to be determined for the participation in such Distribution (provided, however, that, to the extent that the Holder’s right to participate in any such Distribution would result in the Holder exceeding the Maximum Percentage,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Maximum Percentage.</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(d) </w:t>
      </w:r>
      <w:r>
        <w:rPr>
          <w:sz w:val="20"/>
          <w:u w:val="single"/>
        </w:rPr>
        <w:t>Fundamental Transaction</w:t>
      </w:r>
      <w:r>
        <w:rPr>
          <w:sz w:val="20"/>
        </w:rPr>
        <w:t>. If, at any time while this Warrant is outstanding, (i) the Company, directly or indirectly, in one or more related transactions effects any merger or consolidation of the Company with or into another Person (other than for the purpose of changing the Company’s name and/or the jurisdiction of incorporation of the Company or a holding company for the Company) , (ii) the Company, directly or indirectly, effects any sale, lease, license, assignment, transfer, conveyance or other disposition of all or substantially all of the assets of the Company and its subsidiaries, taken as a whole,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more than 50% of the outstanding Common Shares, (iv) the Company,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Common Shares (not including any Common Shares held by the other Person or other Persons making or party to, or associated or affiliated with the other Persons making or party to, such share purchase agreement or other business combination) (each a “</w:t>
      </w:r>
      <w:r>
        <w:rPr>
          <w:sz w:val="20"/>
          <w:u w:val="single"/>
        </w:rPr>
        <w:t>Fundamental Transaction</w:t>
      </w:r>
      <w:r>
        <w:rPr>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1(e) on the exercise of this Warrant), the number of Common Shares of the successor or acquiring corporation or of the Company, if it is the surviving corporation, and any additional consideration (the “</w:t>
      </w:r>
      <w:r>
        <w:rPr>
          <w:sz w:val="20"/>
          <w:u w:val="single"/>
        </w:rPr>
        <w:t>Alternate Consideration</w:t>
      </w:r>
      <w:r>
        <w:rPr>
          <w:sz w:val="20"/>
        </w:rPr>
        <w:t>”) receivable as a result of such Fundamental Transaction by a holder of the number of Common Shares for which this Warrant is exercisable immediately prior to such Fundamental Transaction (without regard to any limitation in Section 1(e) on the exercise of this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pStyle w:val="TextBody"/>
        <w:bidi w:val="0"/>
        <w:spacing w:before="0" w:after="0"/>
        <w:ind w:left="0" w:right="0" w:firstLine="1102"/>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The Company shall cause any successor entity in a Fundamental Transaction in which the Company is not the survivor (the “</w:t>
      </w:r>
      <w:r>
        <w:rPr>
          <w:sz w:val="20"/>
          <w:u w:val="single"/>
        </w:rPr>
        <w:t>Successor Entity</w:t>
      </w:r>
      <w:r>
        <w:rPr>
          <w:sz w:val="20"/>
        </w:rPr>
        <w:t>”) to assume in writing all of the obligations of the Company under this Warrant in accordance with the provisions of this Section 2(d)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share capital of such Successor Entity (or its parent entity) equivalent to the Common Shares acquirable and receivable upon exercise of this Warrant (without regard to any limitations on the exercise of this Warrant) prior to such Fundamental Transaction, and with an exercise price which applies the exercise price hereunder to such shares of share capital (but taking into account the relative value of the Common Shares pursuant to such Fundamental Transaction and the value of such shares of share capital, such number of shares of share capital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(e) </w:t>
      </w:r>
      <w:r>
        <w:rPr>
          <w:sz w:val="20"/>
          <w:u w:val="single"/>
        </w:rPr>
        <w:t>Calculations</w:t>
      </w:r>
      <w:r>
        <w:rPr>
          <w:sz w:val="20"/>
        </w:rPr>
        <w:t>. All calculations under this Section 2 shall be made to the nearest cent or the nearest 1/100th of a share, as the case may be. For purposes of this Section 2, the number of Common Shares deemed to be issued and outstanding as of a given date shall be the sum of the number of Common Shares (excluding treasury shares, if any) issued and outstanding.</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(f) </w:t>
      </w:r>
      <w:r>
        <w:rPr>
          <w:sz w:val="20"/>
          <w:u w:val="single"/>
        </w:rPr>
        <w:t>Notice to Holder</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(i) </w:t>
      </w:r>
      <w:r>
        <w:rPr>
          <w:sz w:val="20"/>
          <w:u w:val="single"/>
        </w:rPr>
        <w:t>Adjustment to Exercise Price</w:t>
      </w:r>
      <w:r>
        <w:rPr>
          <w:sz w:val="20"/>
        </w:rPr>
        <w:t>. Whenever the Exercise Price is adjusted pursuant to any provision of this Section 2,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(ii) </w:t>
      </w:r>
      <w:r>
        <w:rPr>
          <w:sz w:val="20"/>
          <w:u w:val="single"/>
        </w:rPr>
        <w:t>Notice to Allow Exercise by Holder</w:t>
      </w:r>
      <w:r>
        <w:rPr>
          <w:sz w:val="20"/>
        </w:rPr>
        <w:t>. If (A) the Company shall declare a dividend (or any other distribution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share capital of any class or of any rights, (D) the approval of any shareholders of the Company shall be required in connection with any reclassification of the Common Shares, any consolidation or merger to which the Company (and all of its subsidiaries, taken as a whole) is a party, any sale or transfer of all or substantially all of its assets, or any compulsory share exchange whereby the Common Shares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substantially simultaneously with the giving of such notice, disclose such information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(g) </w:t>
      </w:r>
      <w:r>
        <w:rPr>
          <w:sz w:val="20"/>
          <w:u w:val="single"/>
        </w:rPr>
        <w:t>Voluntary Adjustment By Company</w:t>
      </w:r>
      <w:r>
        <w:rPr>
          <w:sz w:val="20"/>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Section 3. </w:t>
      </w:r>
      <w:r>
        <w:rPr>
          <w:sz w:val="20"/>
          <w:u w:val="single"/>
        </w:rPr>
        <w:t>Transfer of Warrant</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(a) </w:t>
      </w:r>
      <w:r>
        <w:rPr>
          <w:sz w:val="20"/>
          <w:u w:val="single"/>
        </w:rPr>
        <w:t>Transferability</w:t>
      </w:r>
      <w:r>
        <w:rPr>
          <w:sz w:val="20"/>
        </w:rPr>
        <w:t>. Subject to compliance with any applicable securities laws and the conditions set forth in Section 3(d) hereof,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(b) </w:t>
      </w:r>
      <w:r>
        <w:rPr>
          <w:sz w:val="20"/>
          <w:u w:val="single"/>
        </w:rPr>
        <w:t>New Warrants</w:t>
      </w:r>
      <w:r>
        <w:rPr>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(c) </w:t>
      </w:r>
      <w:r>
        <w:rPr>
          <w:sz w:val="20"/>
          <w:u w:val="single"/>
        </w:rPr>
        <w:t>Warrant Register</w:t>
      </w:r>
      <w:r>
        <w:rPr>
          <w:sz w:val="20"/>
        </w:rPr>
        <w:t>. The Company shall register this Warrant, upon records to be maintained by the Company for that purpose (the “</w:t>
      </w:r>
      <w:r>
        <w:rPr>
          <w:sz w:val="20"/>
          <w:u w:val="single"/>
        </w:rPr>
        <w:t>Warrant Register</w:t>
      </w:r>
      <w:r>
        <w:rPr>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(d) </w:t>
      </w:r>
      <w:r>
        <w:rPr>
          <w:sz w:val="20"/>
          <w:u w:val="single"/>
        </w:rPr>
        <w:t>Representation by the Holder</w:t>
      </w:r>
      <w:r>
        <w:rPr>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Section 4. </w:t>
      </w:r>
      <w:r>
        <w:rPr>
          <w:sz w:val="20"/>
          <w:u w:val="single"/>
        </w:rPr>
        <w:t>Miscellaneous</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(a) </w:t>
      </w:r>
      <w:r>
        <w:rPr>
          <w:sz w:val="20"/>
          <w:u w:val="single"/>
        </w:rPr>
        <w:t>No Rights as Shareholder Until Exercise; No Settlement in Cash</w:t>
      </w:r>
      <w:r>
        <w:rPr>
          <w:sz w:val="20"/>
        </w:rPr>
        <w:t>. This Warrant does not entitle the Holder to any voting rights, dividends or other rights as a shareholder of the Company prior to the exercise hereof as set forth in Section 1(d)(i), except as expressly set forth in Section 3. Without limiting any rights of a Holder to receive Warrant Shares on a “cashless exercise” pursuant to Section 1(c) or to receive cash payments pursuant to Section 1(d)(i) and Section 1(d)(iv) herein, in no event shall the Company be required to net cash settle an exercise of this Warrant.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(b) </w:t>
      </w:r>
      <w:r>
        <w:rPr>
          <w:sz w:val="20"/>
          <w:u w:val="single"/>
        </w:rPr>
        <w:t>Loss, Theft, Destruction or Mutilation of Warrant</w:t>
      </w:r>
      <w:r>
        <w:rPr>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(c) </w:t>
      </w:r>
      <w:r>
        <w:rPr>
          <w:sz w:val="20"/>
          <w:u w:val="single"/>
        </w:rPr>
        <w:t>Saturdays, Sundays, Holidays, etc</w:t>
      </w:r>
      <w:r>
        <w:rPr>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(d) </w:t>
      </w:r>
      <w:r>
        <w:rPr>
          <w:sz w:val="20"/>
          <w:u w:val="single"/>
        </w:rPr>
        <w:t>Authorized Shares</w:t>
      </w:r>
      <w:r>
        <w:rPr>
          <w:sz w:val="20"/>
        </w:rPr>
        <w:t>.</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The Company covenants that, during the period the Warrant is outstanding, it will reserve from its authorized and unissued Common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Except and to the extent as waived or consented to by the Holder, the Company shall not take any action, including, without limitation, amending its notice of articles or articles or through any reorganization, transfer of assets, consolidation, merger, dissolution, issue or sale of securities or any other voluntary action, in order to avoid or seek to avoid the observance or performance of any of the terms of this Warrant, but will at all times in good faith assist in the carrying out of all such terms and in the taking of all such actions as may be necessary to carry out such terms.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sz w:val="20"/>
        </w:rPr>
        <w:t xml:space="preserve">(e) </w:t>
      </w:r>
      <w:r>
        <w:rPr>
          <w:sz w:val="20"/>
          <w:u w:val="single"/>
        </w:rPr>
        <w:t>Governing Law; Jurisdiction</w:t>
      </w:r>
      <w:r>
        <w:rPr>
          <w:sz w:val="20"/>
        </w:rPr>
        <w:t>. ALL QUESTIONS CONCERNING THE CONSTRUCTION, VALIDITY, ENFORCEMENT AND INTERPRETATION OF THIS WARRANT SHALL BE GOVERNED BY AND CONSTRUED AND ENFORCED IN ACCORDANCE WITH THE LAWS OF THE STATE OF NEW YORK.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(f) </w:t>
      </w:r>
      <w:r>
        <w:rPr>
          <w:sz w:val="20"/>
          <w:u w:val="single"/>
        </w:rPr>
        <w:t>Restrictions</w:t>
      </w:r>
      <w:r>
        <w:rPr>
          <w:sz w:val="20"/>
        </w:rPr>
        <w:t>. The Holder acknowledges that the Warrant Shares acquired upon the exercise of this Warrant will have restrictions upon resale imposed by state and federal securities laws and will bear a restrictive legend, subject to Section 1(c) in the case of cashless exercise.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(g) </w:t>
      </w:r>
      <w:r>
        <w:rPr>
          <w:sz w:val="20"/>
          <w:u w:val="single"/>
        </w:rPr>
        <w:t>Nonwaiver and Expenses</w:t>
      </w:r>
      <w:r>
        <w:rPr>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out of pocket external attorneys’ fees of one counsel,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(h) </w:t>
      </w:r>
      <w:r>
        <w:rPr>
          <w:sz w:val="20"/>
          <w:u w:val="single"/>
        </w:rPr>
        <w:t>Notices</w:t>
      </w:r>
      <w:r>
        <w:rPr>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(i) </w:t>
      </w:r>
      <w:r>
        <w:rPr>
          <w:sz w:val="20"/>
          <w:u w:val="single"/>
        </w:rPr>
        <w:t>Limitation of Liability</w:t>
      </w:r>
      <w:r>
        <w:rPr>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 Company.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(j) </w:t>
      </w:r>
      <w:r>
        <w:rPr>
          <w:sz w:val="20"/>
          <w:u w:val="single"/>
        </w:rPr>
        <w:t>Remedies</w:t>
      </w:r>
      <w:r>
        <w:rPr>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(k) </w:t>
      </w:r>
      <w:r>
        <w:rPr>
          <w:sz w:val="20"/>
          <w:u w:val="single"/>
        </w:rPr>
        <w:t>Successors and Assigns</w:t>
      </w:r>
      <w:r>
        <w:rPr>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(l) </w:t>
      </w:r>
      <w:r>
        <w:rPr>
          <w:sz w:val="20"/>
          <w:u w:val="single"/>
        </w:rPr>
        <w:t>Amendment</w:t>
      </w:r>
      <w:r>
        <w:rPr>
          <w:sz w:val="20"/>
        </w:rPr>
        <w:t>. This Warrant may be modified or amended or the provisions hereof waived with the written consent of the Company and the Holder.</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(m) </w:t>
      </w:r>
      <w:r>
        <w:rPr>
          <w:sz w:val="20"/>
          <w:u w:val="single"/>
        </w:rPr>
        <w:t>Severability</w:t>
      </w:r>
      <w:r>
        <w:rPr>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(n) </w:t>
      </w:r>
      <w:r>
        <w:rPr>
          <w:sz w:val="20"/>
          <w:u w:val="single"/>
        </w:rPr>
        <w:t>Headings</w:t>
      </w:r>
      <w:r>
        <w:rPr>
          <w:sz w:val="20"/>
        </w:rPr>
        <w:t>. The headings used in this Warrant are for the convenience of reference only and shall not, for any purpose, be deemed a part of this Warrant.</w:t>
      </w:r>
    </w:p>
    <w:p>
      <w:pPr>
        <w:pStyle w:val="TextBody"/>
        <w:bidi w:val="0"/>
        <w:spacing w:before="0" w:after="0"/>
        <w:ind w:left="0" w:right="0" w:firstLine="490"/>
        <w:jc w:val="left"/>
        <w:rPr/>
      </w:pPr>
      <w:r>
        <w:rPr/>
        <w:t> </w:t>
      </w:r>
    </w:p>
    <w:p>
      <w:pPr>
        <w:pStyle w:val="TextBody"/>
        <w:bidi w:val="0"/>
        <w:spacing w:before="0" w:after="0"/>
        <w:ind w:left="0" w:right="0" w:hanging="0"/>
        <w:jc w:val="center"/>
        <w:rPr>
          <w:sz w:val="20"/>
        </w:rPr>
      </w:pPr>
      <w:r>
        <w:rPr>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i/>
          <w:sz w:val="20"/>
        </w:rPr>
      </w:pPr>
      <w:r>
        <w:rPr>
          <w:i/>
          <w:sz w:val="20"/>
        </w:rPr>
        <w:t xml:space="preserve">(Signature Page Follows)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IN WITNESS WHEREOF, the Company has caused this Warrant to be executed by its officer thereunto duly authorized as of the date first above indicated.</w:t>
      </w:r>
    </w:p>
    <w:p>
      <w:pPr>
        <w:pStyle w:val="TextBody"/>
        <w:bidi w:val="0"/>
        <w:spacing w:before="0" w:after="0"/>
        <w:ind w:left="0" w:right="0" w:firstLine="720"/>
        <w:jc w:val="left"/>
        <w:rPr/>
      </w:pPr>
      <w:r>
        <w:rPr/>
        <w:t> </w:t>
      </w:r>
    </w:p>
    <w:tbl>
      <w:tblPr>
        <w:tblW w:w="2149" w:type="dxa"/>
        <w:jc w:val="left"/>
        <w:tblInd w:w="0" w:type="dxa"/>
        <w:tblLayout w:type="fixed"/>
        <w:tblCellMar>
          <w:top w:w="0" w:type="dxa"/>
          <w:left w:w="0" w:type="dxa"/>
          <w:bottom w:w="0" w:type="dxa"/>
          <w:right w:w="0" w:type="dxa"/>
        </w:tblCellMar>
      </w:tblPr>
      <w:tblGrid>
        <w:gridCol w:w="75"/>
        <w:gridCol w:w="685"/>
        <w:gridCol w:w="147"/>
        <w:gridCol w:w="1242"/>
      </w:tblGrid>
      <w:tr>
        <w:trPr/>
        <w:tc>
          <w:tcPr>
            <w:tcW w:w="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4" w:type="dxa"/>
            <w:gridSpan w:val="3"/>
            <w:tcBorders/>
            <w:vAlign w:val="center"/>
          </w:tcPr>
          <w:p>
            <w:pPr>
              <w:pStyle w:val="TableContents"/>
              <w:bidi w:val="0"/>
              <w:spacing w:before="0" w:after="283"/>
              <w:jc w:val="left"/>
              <w:rPr>
                <w:b/>
                <w:sz w:val="20"/>
              </w:rPr>
            </w:pPr>
            <w:r>
              <w:rPr>
                <w:b/>
                <w:sz w:val="20"/>
              </w:rPr>
              <w:t>EDESA BIOTECH INC.</w:t>
            </w:r>
          </w:p>
        </w:tc>
      </w:tr>
      <w:tr>
        <w:trPr/>
        <w:tc>
          <w:tcPr>
            <w:tcW w:w="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pPr>
            <w:r>
              <w:rPr/>
              <w:t> </w:t>
            </w:r>
          </w:p>
        </w:tc>
        <w:tc>
          <w:tcPr>
            <w:tcW w:w="13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sz w:val="20"/>
              </w:rPr>
            </w:pPr>
            <w:r>
              <w:rPr>
                <w:sz w:val="20"/>
              </w:rPr>
              <w:t>By:</w:t>
            </w:r>
          </w:p>
        </w:tc>
        <w:tc>
          <w:tcPr>
            <w:tcW w:w="147" w:type="dxa"/>
            <w:tcBorders/>
            <w:vAlign w:val="center"/>
          </w:tcPr>
          <w:p>
            <w:pPr>
              <w:pStyle w:val="TableContents"/>
              <w:bidi w:val="0"/>
              <w:spacing w:before="0" w:after="283"/>
              <w:jc w:val="left"/>
              <w:rPr/>
            </w:pPr>
            <w:r>
              <w:rPr/>
              <w:t> </w:t>
            </w:r>
          </w:p>
        </w:tc>
        <w:tc>
          <w:tcPr>
            <w:tcW w:w="1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NOTICE OF EXERCISE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To: Edesa Biotech Inc. (the “Company”)</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(2) Payment shall take the form of (check applicable box):</w:t>
      </w:r>
    </w:p>
    <w:p>
      <w:pPr>
        <w:pStyle w:val="TextBody"/>
        <w:bidi w:val="0"/>
        <w:spacing w:before="0" w:after="0"/>
        <w:ind w:left="0" w:right="0" w:hanging="0"/>
        <w:jc w:val="left"/>
        <w:rPr/>
      </w:pPr>
      <w:r>
        <w:rPr/>
        <w:t> </w:t>
      </w:r>
    </w:p>
    <w:tbl>
      <w:tblPr>
        <w:tblW w:w="3715" w:type="dxa"/>
        <w:jc w:val="left"/>
        <w:tblInd w:w="0" w:type="dxa"/>
        <w:tblLayout w:type="fixed"/>
        <w:tblCellMar>
          <w:top w:w="0" w:type="dxa"/>
          <w:left w:w="0" w:type="dxa"/>
          <w:bottom w:w="0" w:type="dxa"/>
          <w:right w:w="0" w:type="dxa"/>
        </w:tblCellMar>
      </w:tblPr>
      <w:tblGrid>
        <w:gridCol w:w="75"/>
        <w:gridCol w:w="335"/>
        <w:gridCol w:w="330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sz w:val="20"/>
              </w:rPr>
            </w:pPr>
            <w:r>
              <w:rPr>
                <w:sz w:val="20"/>
              </w:rPr>
              <w:t>[ ]</w:t>
            </w:r>
          </w:p>
        </w:tc>
        <w:tc>
          <w:tcPr>
            <w:tcW w:w="3305" w:type="dxa"/>
            <w:tcBorders/>
            <w:vAlign w:val="center"/>
          </w:tcPr>
          <w:p>
            <w:pPr>
              <w:pStyle w:val="TableContents"/>
              <w:bidi w:val="0"/>
              <w:spacing w:before="0" w:after="283"/>
              <w:jc w:val="left"/>
              <w:rPr>
                <w:sz w:val="20"/>
              </w:rPr>
            </w:pPr>
            <w:r>
              <w:rPr>
                <w:sz w:val="20"/>
              </w:rPr>
              <w:t xml:space="preserve">in lawful money of the United States; or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center"/>
              <w:rPr>
                <w:sz w:val="20"/>
              </w:rPr>
            </w:pPr>
            <w:r>
              <w:rPr>
                <w:sz w:val="20"/>
              </w:rPr>
              <w:t>[__]</w:t>
            </w:r>
          </w:p>
        </w:tc>
        <w:tc>
          <w:tcPr>
            <w:tcW w:w="9920" w:type="dxa"/>
            <w:tcBorders/>
            <w:vAlign w:val="center"/>
          </w:tcPr>
          <w:p>
            <w:pPr>
              <w:pStyle w:val="TableContents"/>
              <w:bidi w:val="0"/>
              <w:spacing w:before="0" w:after="283"/>
              <w:jc w:val="left"/>
              <w:rPr>
                <w:sz w:val="20"/>
              </w:rPr>
            </w:pPr>
            <w:r>
              <w:rPr>
                <w:sz w:val="20"/>
              </w:rPr>
              <w:t xml:space="preserve">[if permitted the cancellation of such number of Warrant Shares as is necessary, in accordance with the formula set forth in subsection 1(c), to exercise this Warrant with respect to the maximum number of Warrant Shares purchasable pursuant to the cashless exercise procedure set forth in subsection 1(c). </w:t>
            </w:r>
          </w:p>
        </w:tc>
      </w:tr>
    </w:tbl>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(3) Please issue said Warrant Shares in the name of the undersigned or in such other name as is specified below:</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u w:val="single"/>
        </w:rPr>
        <w:t>               </w:t>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Warrant Shares shall be delivered to the following DWAC Account Number: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u w:val="single"/>
        </w:rPr>
        <w:t>               </w:t>
      </w: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u w:val="single"/>
        </w:rPr>
        <w:t>               </w:t>
      </w: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u w:val="single"/>
        </w:rPr>
        <w:t>               </w:t>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its delivery of this Notice of Exercise, the undersigned represents and warrants to the Company that in giving effect to the exercise evidenced hereby the Holder will not beneficially own in excess of the number of Common Shares permitted to be owned under Section 1(e) of the Warrant to which this notice relates.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[SIGNATURE OF HOLDER]</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 xml:space="preserve">Name of Investing Entity: </w:t>
      </w:r>
      <w:r>
        <w:rPr>
          <w:sz w:val="20"/>
          <w:u w:val="single"/>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sz w:val="20"/>
              </w:rPr>
            </w:pPr>
            <w:r>
              <w:rPr>
                <w:i/>
                <w:sz w:val="20"/>
              </w:rPr>
              <w:t>Signature of Authorized Signatory of Investing Entity</w:t>
            </w:r>
            <w:r>
              <w:rPr>
                <w:sz w:val="20"/>
              </w:rPr>
              <w:t>:</w:t>
            </w:r>
            <w:r>
              <w:rPr>
                <w:sz w:val="20"/>
                <w:u w:val="single"/>
              </w:rPr>
              <w:t>                                </w:t>
            </w:r>
          </w:p>
        </w:tc>
      </w:tr>
      <w:tr>
        <w:trPr/>
        <w:tc>
          <w:tcPr>
            <w:tcW w:w="10205" w:type="dxa"/>
            <w:tcBorders/>
            <w:vAlign w:val="center"/>
          </w:tcPr>
          <w:p>
            <w:pPr>
              <w:pStyle w:val="TableContents"/>
              <w:bidi w:val="0"/>
              <w:spacing w:before="0" w:after="283"/>
              <w:jc w:val="left"/>
              <w:rPr>
                <w:sz w:val="20"/>
              </w:rPr>
            </w:pPr>
            <w:r>
              <w:rPr>
                <w:sz w:val="20"/>
              </w:rPr>
              <w:t>Name of Authorized Signatory:</w:t>
            </w:r>
            <w:r>
              <w:rPr>
                <w:sz w:val="20"/>
                <w:u w:val="single"/>
              </w:rPr>
              <w:t xml:space="preserve">                                          </w:t>
            </w:r>
          </w:p>
        </w:tc>
      </w:tr>
      <w:tr>
        <w:trPr/>
        <w:tc>
          <w:tcPr>
            <w:tcW w:w="10205" w:type="dxa"/>
            <w:tcBorders/>
            <w:vAlign w:val="center"/>
          </w:tcPr>
          <w:p>
            <w:pPr>
              <w:pStyle w:val="TableContents"/>
              <w:bidi w:val="0"/>
              <w:spacing w:before="0" w:after="283"/>
              <w:jc w:val="left"/>
              <w:rPr>
                <w:sz w:val="20"/>
              </w:rPr>
            </w:pPr>
            <w:r>
              <w:rPr>
                <w:sz w:val="20"/>
              </w:rPr>
              <w:t>Title of Authorized Signatory:</w:t>
            </w:r>
            <w:r>
              <w:rPr>
                <w:sz w:val="20"/>
                <w:u w:val="single"/>
              </w:rPr>
              <w:t xml:space="preserve">                                           </w:t>
            </w:r>
          </w:p>
        </w:tc>
      </w:tr>
    </w:tbl>
    <w:p>
      <w:pPr>
        <w:pStyle w:val="TextBody"/>
        <w:bidi w:val="0"/>
        <w:spacing w:before="0" w:after="0"/>
        <w:ind w:left="0" w:right="0" w:hanging="0"/>
        <w:jc w:val="left"/>
        <w:rPr>
          <w:sz w:val="20"/>
        </w:rPr>
      </w:pPr>
      <w:r>
        <w:rPr>
          <w:sz w:val="20"/>
        </w:rPr>
        <w:t>Date:</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ASSIGNMENT FORM</w:t>
      </w:r>
    </w:p>
    <w:p>
      <w:pPr>
        <w:pStyle w:val="TextBody"/>
        <w:bidi w:val="0"/>
        <w:spacing w:before="0" w:after="0"/>
        <w:ind w:left="0" w:right="0" w:hanging="0"/>
        <w:jc w:val="center"/>
        <w:rPr/>
      </w:pPr>
      <w:r>
        <w:rPr/>
        <w:t> </w:t>
      </w:r>
    </w:p>
    <w:p>
      <w:pPr>
        <w:pStyle w:val="TextBody"/>
        <w:bidi w:val="0"/>
        <w:spacing w:before="0" w:after="0"/>
        <w:ind w:left="0" w:right="0" w:hanging="0"/>
        <w:jc w:val="center"/>
        <w:rPr>
          <w:i/>
          <w:sz w:val="20"/>
        </w:rPr>
      </w:pPr>
      <w:r>
        <w:rPr>
          <w:i/>
          <w:sz w:val="20"/>
        </w:rPr>
        <w:t>(To assign the foregoing Warrant, execute this form and supply required information. Do not use this form to purchase shares.)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FOR VALUE RECEIVED, the foregoing Warrant and all rights evidenced thereby are hereby assigned to</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415" w:type="dxa"/>
        <w:jc w:val="left"/>
        <w:tblInd w:w="0" w:type="dxa"/>
        <w:tblLayout w:type="fixed"/>
        <w:tblCellMar>
          <w:top w:w="0" w:type="dxa"/>
          <w:left w:w="0" w:type="dxa"/>
          <w:bottom w:w="0" w:type="dxa"/>
          <w:right w:w="0" w:type="dxa"/>
        </w:tblCellMar>
      </w:tblPr>
      <w:tblGrid>
        <w:gridCol w:w="5480"/>
        <w:gridCol w:w="60"/>
        <w:gridCol w:w="3875"/>
      </w:tblGrid>
      <w:tr>
        <w:trPr/>
        <w:tc>
          <w:tcPr>
            <w:tcW w:w="548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u w:val="single"/>
              </w:rPr>
            </w:pPr>
            <w:r>
              <w:rPr>
                <w:u w:val="singl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(Please Print)</w:t>
            </w:r>
          </w:p>
        </w:tc>
      </w:tr>
      <w:tr>
        <w:trPr/>
        <w:tc>
          <w:tcPr>
            <w:tcW w:w="5480"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u w:val="single"/>
              </w:rPr>
            </w:pPr>
            <w:r>
              <w:rPr>
                <w:u w:val="singl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(Please Print)</w:t>
            </w:r>
          </w:p>
        </w:tc>
      </w:tr>
      <w:tr>
        <w:trPr/>
        <w:tc>
          <w:tcPr>
            <w:tcW w:w="5480" w:type="dxa"/>
            <w:tcBorders/>
            <w:vAlign w:val="center"/>
          </w:tcPr>
          <w:p>
            <w:pPr>
              <w:pStyle w:val="TableContents"/>
              <w:bidi w:val="0"/>
              <w:spacing w:before="0" w:after="283"/>
              <w:jc w:val="left"/>
              <w:rPr/>
            </w:pPr>
            <w:r>
              <w:rPr/>
              <w:t>Phone Number:</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u w:val="single"/>
              </w:rPr>
            </w:pPr>
            <w:r>
              <w:rPr>
                <w:u w:val="singl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u w:val="single"/>
              </w:rPr>
            </w:pPr>
            <w:r>
              <w:rPr>
                <w:u w:val="singl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Dated: _______________ __, ______</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Holder’s Signature:</w:t>
            </w:r>
            <w:r>
              <w:rPr>
                <w:caps w:val="false"/>
                <w:smallCaps w:val="false"/>
                <w:u w:val="single"/>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Holder’s Address:</w:t>
            </w:r>
            <w:r>
              <w:rPr>
                <w:caps w:val="false"/>
                <w:smallCaps w:val="false"/>
                <w:u w:val="single"/>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rPr>
      </w:pPr>
      <w:bookmarkStart w:id="26" w:name="exh_42.htm"/>
      <w:bookmarkStart w:id="27" w:name="ksexh_42"/>
      <w:bookmarkEnd w:id="26"/>
      <w:bookmarkEnd w:id="27"/>
      <w:r>
        <w:rPr>
          <w:b/>
          <w:sz w:val="20"/>
        </w:rPr>
        <w:t>Exhibit 4.2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EDESA BIOTECH INC. </w:t>
      </w:r>
    </w:p>
    <w:p>
      <w:pPr>
        <w:pStyle w:val="TextBody"/>
        <w:bidi w:val="0"/>
        <w:spacing w:before="0" w:after="0"/>
        <w:ind w:left="0" w:right="0" w:hanging="0"/>
        <w:jc w:val="center"/>
        <w:rPr>
          <w:b/>
          <w:sz w:val="20"/>
        </w:rPr>
      </w:pPr>
      <w:r>
        <w:rPr>
          <w:b/>
          <w:sz w:val="20"/>
        </w:rPr>
        <w:t xml:space="preserve">FORM OF PRE-FUNDED WARRANT TO PURCHASE COMMON SHARES </w:t>
      </w:r>
    </w:p>
    <w:p>
      <w:pPr>
        <w:pStyle w:val="TextBody"/>
        <w:bidi w:val="0"/>
        <w:spacing w:before="0" w:after="0"/>
        <w:ind w:left="0" w:right="0" w:hanging="0"/>
        <w:jc w:val="right"/>
        <w:rPr>
          <w:sz w:val="20"/>
        </w:rPr>
      </w:pPr>
      <w:r>
        <w:rPr>
          <w:sz w:val="20"/>
        </w:rPr>
        <w:t>Number of Shares: [    ]</w:t>
      </w:r>
    </w:p>
    <w:p>
      <w:pPr>
        <w:pStyle w:val="TextBody"/>
        <w:bidi w:val="0"/>
        <w:spacing w:before="0" w:after="0"/>
        <w:ind w:left="0" w:right="0" w:hanging="0"/>
        <w:jc w:val="right"/>
        <w:rPr>
          <w:sz w:val="20"/>
        </w:rPr>
      </w:pPr>
      <w:r>
        <w:rPr>
          <w:sz w:val="20"/>
        </w:rPr>
        <w:t>(subject to adjustment)</w:t>
      </w:r>
    </w:p>
    <w:p>
      <w:pPr>
        <w:pStyle w:val="TextBody"/>
        <w:bidi w:val="0"/>
        <w:spacing w:before="0" w:after="0"/>
        <w:ind w:left="0" w:right="0" w:hanging="0"/>
        <w:jc w:val="left"/>
        <w:rPr/>
      </w:pPr>
      <w:r>
        <w:rPr/>
        <w:t> </w:t>
      </w:r>
    </w:p>
    <w:tbl>
      <w:tblPr>
        <w:tblW w:w="4345" w:type="dxa"/>
        <w:jc w:val="left"/>
        <w:tblInd w:w="0" w:type="dxa"/>
        <w:tblLayout w:type="fixed"/>
        <w:tblCellMar>
          <w:top w:w="0" w:type="dxa"/>
          <w:left w:w="0" w:type="dxa"/>
          <w:bottom w:w="0" w:type="dxa"/>
          <w:right w:w="0" w:type="dxa"/>
        </w:tblCellMar>
      </w:tblPr>
      <w:tblGrid>
        <w:gridCol w:w="1250"/>
        <w:gridCol w:w="60"/>
        <w:gridCol w:w="3035"/>
      </w:tblGrid>
      <w:tr>
        <w:trPr/>
        <w:tc>
          <w:tcPr>
            <w:tcW w:w="1250" w:type="dxa"/>
            <w:tcBorders/>
            <w:vAlign w:val="center"/>
          </w:tcPr>
          <w:p>
            <w:pPr>
              <w:pStyle w:val="TableContents"/>
              <w:bidi w:val="0"/>
              <w:spacing w:before="0" w:after="283"/>
              <w:jc w:val="left"/>
              <w:rPr>
                <w:sz w:val="20"/>
              </w:rPr>
            </w:pPr>
            <w:r>
              <w:rPr>
                <w:sz w:val="20"/>
              </w:rPr>
              <w:t xml:space="preserve">Warrant No. </w:t>
            </w:r>
            <w:r>
              <w:rPr>
                <w:sz w:val="20"/>
                <w:u w:val="single"/>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right"/>
              <w:rPr>
                <w:sz w:val="20"/>
              </w:rPr>
            </w:pPr>
            <w:r>
              <w:rPr>
                <w:sz w:val="20"/>
              </w:rPr>
              <w:t>Original Issue Date: August 21, 2026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Edesa Biotech Inc., a British Columbia corporation (the “</w:t>
      </w:r>
      <w:r>
        <w:rPr>
          <w:b/>
          <w:sz w:val="20"/>
        </w:rPr>
        <w:t>Company</w:t>
      </w:r>
      <w:r>
        <w:rPr>
          <w:sz w:val="20"/>
        </w:rPr>
        <w:t>”), hereby certifies that, for good and valuable consideration, the receipt and sufficiency of which are hereby acknowledged, [ ] or its registered assigns (the “</w:t>
      </w:r>
      <w:r>
        <w:rPr>
          <w:b/>
          <w:sz w:val="20"/>
        </w:rPr>
        <w:t>Holder</w:t>
      </w:r>
      <w:r>
        <w:rPr>
          <w:sz w:val="20"/>
        </w:rPr>
        <w:t>”), is entitled, subject to the terms set forth below, to purchase from the Company up to a total of [ ] Common Shares, without par value (the “</w:t>
      </w:r>
      <w:r>
        <w:rPr>
          <w:b/>
          <w:sz w:val="20"/>
        </w:rPr>
        <w:t>Common Shares</w:t>
      </w:r>
      <w:r>
        <w:rPr>
          <w:sz w:val="20"/>
        </w:rPr>
        <w:t>”), of the Company (each such share, a “</w:t>
      </w:r>
      <w:r>
        <w:rPr>
          <w:b/>
          <w:sz w:val="20"/>
        </w:rPr>
        <w:t>Warrant Share</w:t>
      </w:r>
      <w:r>
        <w:rPr>
          <w:sz w:val="20"/>
        </w:rPr>
        <w:t>” and all such shares, the “</w:t>
      </w:r>
      <w:r>
        <w:rPr>
          <w:b/>
          <w:sz w:val="20"/>
        </w:rPr>
        <w:t>Warrant Shares</w:t>
      </w:r>
      <w:r>
        <w:rPr>
          <w:sz w:val="20"/>
        </w:rPr>
        <w:t xml:space="preserve">”) at an exercise price per share equal to $0.0001 per share (as adjusted from time to time as provided in </w:t>
      </w:r>
      <w:r>
        <w:rPr>
          <w:sz w:val="20"/>
          <w:u w:val="single"/>
        </w:rPr>
        <w:t>Section 9</w:t>
      </w:r>
      <w:r>
        <w:rPr>
          <w:sz w:val="20"/>
        </w:rPr>
        <w:t xml:space="preserve"> herein, the “</w:t>
      </w:r>
      <w:r>
        <w:rPr>
          <w:b/>
          <w:sz w:val="20"/>
        </w:rPr>
        <w:t>Exercise Price</w:t>
      </w:r>
      <w:r>
        <w:rPr>
          <w:sz w:val="20"/>
        </w:rPr>
        <w:t>”), upon surrender of this Warrant to Purchase Common Shares (including any Warrants to Purchase Common Shares issued in exchange, transfer or replacement hereof, the “</w:t>
      </w:r>
      <w:r>
        <w:rPr>
          <w:b/>
          <w:sz w:val="20"/>
        </w:rPr>
        <w:t>Warrant</w:t>
      </w:r>
      <w:r>
        <w:rPr>
          <w:sz w:val="20"/>
        </w:rPr>
        <w:t>”) at any time and from time to time on or after the date hereof (the “</w:t>
      </w:r>
      <w:r>
        <w:rPr>
          <w:b/>
          <w:sz w:val="20"/>
        </w:rPr>
        <w:t>Original Issue Date</w:t>
      </w:r>
      <w:r>
        <w:rPr>
          <w:sz w:val="20"/>
        </w:rPr>
        <w:t>”). This Warrant has been issued pursuant to the terms of the Underwriting Agreement, dated August 19, 2026, between the Company and Guggenheim Securities, LLC, as the representative of the several underwriters named therein.</w:t>
      </w:r>
    </w:p>
    <w:p>
      <w:pPr>
        <w:pStyle w:val="TextBody"/>
        <w:bidi w:val="0"/>
        <w:spacing w:before="0" w:after="0"/>
        <w:ind w:left="0" w:right="0" w:hanging="0"/>
        <w:jc w:val="left"/>
        <w:rPr/>
      </w:pPr>
      <w:r>
        <w:rPr/>
        <w:t> </w:t>
      </w:r>
    </w:p>
    <w:tbl>
      <w:tblPr>
        <w:tblW w:w="8110" w:type="dxa"/>
        <w:jc w:val="left"/>
        <w:tblInd w:w="0" w:type="dxa"/>
        <w:tblLayout w:type="fixed"/>
        <w:tblCellMar>
          <w:top w:w="0" w:type="dxa"/>
          <w:left w:w="0" w:type="dxa"/>
          <w:bottom w:w="0" w:type="dxa"/>
          <w:right w:w="0" w:type="dxa"/>
        </w:tblCellMar>
      </w:tblPr>
      <w:tblGrid>
        <w:gridCol w:w="185"/>
        <w:gridCol w:w="7925"/>
      </w:tblGrid>
      <w:tr>
        <w:trPr/>
        <w:tc>
          <w:tcPr>
            <w:tcW w:w="185" w:type="dxa"/>
            <w:tcBorders/>
            <w:vAlign w:val="center"/>
          </w:tcPr>
          <w:p>
            <w:pPr>
              <w:pStyle w:val="TableContents"/>
              <w:bidi w:val="0"/>
              <w:spacing w:before="0" w:after="283"/>
              <w:jc w:val="left"/>
              <w:rPr>
                <w:sz w:val="20"/>
              </w:rPr>
            </w:pPr>
            <w:r>
              <w:rPr>
                <w:sz w:val="20"/>
              </w:rPr>
              <w:t>1.</w:t>
            </w:r>
          </w:p>
        </w:tc>
        <w:tc>
          <w:tcPr>
            <w:tcW w:w="7925" w:type="dxa"/>
            <w:tcBorders/>
            <w:vAlign w:val="center"/>
          </w:tcPr>
          <w:p>
            <w:pPr>
              <w:pStyle w:val="TableContents"/>
              <w:bidi w:val="0"/>
              <w:spacing w:before="0" w:after="283"/>
              <w:jc w:val="left"/>
              <w:rPr>
                <w:sz w:val="20"/>
              </w:rPr>
            </w:pPr>
            <w:r>
              <w:rPr>
                <w:i/>
                <w:sz w:val="20"/>
              </w:rPr>
              <w:t>Definitions</w:t>
            </w:r>
            <w:r>
              <w:rPr>
                <w:sz w:val="20"/>
              </w:rPr>
              <w:t xml:space="preserve">. For purposes of this Warrant, the following terms shall have the following meanings: </w:t>
            </w:r>
          </w:p>
        </w:tc>
      </w:tr>
    </w:tbl>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(a) “</w:t>
      </w:r>
      <w:r>
        <w:rPr>
          <w:b/>
          <w:sz w:val="20"/>
        </w:rPr>
        <w:t>Affiliate</w:t>
      </w:r>
      <w:r>
        <w:rPr>
          <w:sz w:val="20"/>
        </w:rPr>
        <w:t>” means, with respect to any Person, any other Person that, directly or indirectly through one or more intermediates, controls, is controlled by or is under common control with such Person.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(b) “</w:t>
      </w:r>
      <w:r>
        <w:rPr>
          <w:b/>
          <w:sz w:val="20"/>
        </w:rPr>
        <w:t>Attribution Parties</w:t>
      </w:r>
      <w:r>
        <w:rPr>
          <w:sz w:val="20"/>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Common Shares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(c) “</w:t>
      </w:r>
      <w:r>
        <w:rPr>
          <w:b/>
          <w:sz w:val="20"/>
        </w:rPr>
        <w:t>Closing Sale Price</w:t>
      </w:r>
      <w:r>
        <w:rPr>
          <w:sz w:val="20"/>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share dividend, share split, share combination or other similar transaction during the applicable calculation period.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(d) “</w:t>
      </w:r>
      <w:r>
        <w:rPr>
          <w:b/>
          <w:sz w:val="20"/>
        </w:rPr>
        <w:t>Commission</w:t>
      </w:r>
      <w:r>
        <w:rPr>
          <w:sz w:val="20"/>
        </w:rPr>
        <w:t>” means the United States Securities and Exchange Commission.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(e) “</w:t>
      </w:r>
      <w:r>
        <w:rPr>
          <w:b/>
          <w:sz w:val="20"/>
        </w:rPr>
        <w:t>Exchange Act</w:t>
      </w:r>
      <w:r>
        <w:rPr>
          <w:sz w:val="20"/>
        </w:rPr>
        <w:t>” means the Securities Exchange Act of 1934, as amended.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(f) “</w:t>
      </w:r>
      <w:r>
        <w:rPr>
          <w:b/>
          <w:sz w:val="20"/>
        </w:rPr>
        <w:t>Group</w:t>
      </w:r>
      <w:r>
        <w:rPr>
          <w:sz w:val="20"/>
        </w:rPr>
        <w:t>” shall have the meaning ascribed to it in Section 13(d) of the Exchange Act, and all related rules, regulations and jurisprudence.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(g) “</w:t>
      </w:r>
      <w:r>
        <w:rPr>
          <w:b/>
          <w:sz w:val="20"/>
        </w:rPr>
        <w:t>Person</w:t>
      </w:r>
      <w:r>
        <w:rPr>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(h) “</w:t>
      </w:r>
      <w:r>
        <w:rPr>
          <w:b/>
          <w:sz w:val="20"/>
        </w:rPr>
        <w:t>Principal Trading Market</w:t>
      </w:r>
      <w:r>
        <w:rPr>
          <w:sz w:val="20"/>
        </w:rPr>
        <w:t>” means the national securities exchange or other trading market on which the Common Shares are primarily listed and quoted for trading, which, as of the Original Issue Date, shall be the Nasdaq Capital Market.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(i) “</w:t>
      </w:r>
      <w:r>
        <w:rPr>
          <w:b/>
          <w:sz w:val="20"/>
        </w:rPr>
        <w:t>Registration Statement</w:t>
      </w:r>
      <w:r>
        <w:rPr>
          <w:sz w:val="20"/>
        </w:rPr>
        <w:t>” means the Company’s Registration Statement on Form S-3 (File No. 333-288966), which was declared effective by the Commission on September 9, 2025.</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(j) “</w:t>
      </w:r>
      <w:r>
        <w:rPr>
          <w:b/>
          <w:sz w:val="20"/>
        </w:rPr>
        <w:t>Securities Act</w:t>
      </w:r>
      <w:r>
        <w:rPr>
          <w:sz w:val="20"/>
        </w:rPr>
        <w:t>” means the Securities Act of 1933, as amended.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(k) “</w:t>
      </w:r>
      <w:r>
        <w:rPr>
          <w:b/>
          <w:sz w:val="20"/>
        </w:rPr>
        <w:t>Standard Settlement Period</w:t>
      </w:r>
      <w:r>
        <w:rPr>
          <w:sz w:val="20"/>
        </w:rPr>
        <w:t>” means the standard settlement period, expressed in a number of Trading Days, for the Principal Trading Market with respect to the Common Shares that is in effect on the date of delivery of an applicable Exercise Notice, which as of the Original Issue Date was “T+1.”</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(l) “</w:t>
      </w:r>
      <w:r>
        <w:rPr>
          <w:b/>
          <w:sz w:val="20"/>
        </w:rPr>
        <w:t>Trading Day</w:t>
      </w:r>
      <w:r>
        <w:rPr>
          <w:sz w:val="20"/>
        </w:rPr>
        <w:t>” means any weekday on which the Principal Trading Market is normally open for trading.</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(m) “</w:t>
      </w:r>
      <w:r>
        <w:rPr>
          <w:b/>
          <w:sz w:val="20"/>
        </w:rPr>
        <w:t>Transfer Agent</w:t>
      </w:r>
      <w:r>
        <w:rPr>
          <w:sz w:val="20"/>
        </w:rPr>
        <w:t>” means Computershare Investor Services Inc., the Company’s transfer agent and registrar for the Common Shares, and any successor appointed in such capacity.</w:t>
      </w:r>
    </w:p>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 xml:space="preserve">2. </w:t>
      </w:r>
      <w:r>
        <w:rPr>
          <w:i/>
          <w:sz w:val="20"/>
        </w:rPr>
        <w:t>Issuance of Securities; Registration of Warrants</w:t>
      </w:r>
      <w:r>
        <w:rPr>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b/>
          <w:sz w:val="20"/>
        </w:rPr>
        <w:t>Warrant Register</w:t>
      </w:r>
      <w:r>
        <w:rPr>
          <w:sz w:val="20"/>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3. </w:t>
      </w:r>
      <w:r>
        <w:rPr>
          <w:i/>
          <w:sz w:val="20"/>
        </w:rPr>
        <w:t>Registration of Transfers</w:t>
      </w:r>
      <w:r>
        <w:rPr>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and, if applicable, the rules of the Principal Trading Market, the Company shall, or will cause its Transfer Agent to, register the transfer of all or any portion of this Warrant in the Warrant Register, upon surrender of this Warrant, and payment of all applicable transfer taxes (if any). Upon any such registration or transfer, a new warrant to purchase Common Shares in substantially the form of this Warrant (any such new warrant, a “</w:t>
      </w:r>
      <w:r>
        <w:rPr>
          <w:b/>
          <w:sz w:val="20"/>
        </w:rPr>
        <w:t>New Warrant</w:t>
      </w:r>
      <w:r>
        <w:rPr>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sz w:val="20"/>
          <w:u w:val="single"/>
        </w:rPr>
        <w:t>Section 3</w:t>
      </w:r>
      <w:r>
        <w:rPr>
          <w:sz w:val="20"/>
        </w:rPr>
        <w:t>.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0"/>
        <w:ind w:left="0" w:right="0" w:hanging="0"/>
        <w:jc w:val="left"/>
        <w:rPr/>
      </w:pPr>
      <w:r>
        <w:rPr/>
        <w:t> </w:t>
      </w:r>
    </w:p>
    <w:tbl>
      <w:tblPr>
        <w:tblW w:w="3175" w:type="dxa"/>
        <w:jc w:val="left"/>
        <w:tblInd w:w="0" w:type="dxa"/>
        <w:tblLayout w:type="fixed"/>
        <w:tblCellMar>
          <w:top w:w="0" w:type="dxa"/>
          <w:left w:w="0" w:type="dxa"/>
          <w:bottom w:w="0" w:type="dxa"/>
          <w:right w:w="0" w:type="dxa"/>
        </w:tblCellMar>
      </w:tblPr>
      <w:tblGrid>
        <w:gridCol w:w="185"/>
        <w:gridCol w:w="2990"/>
      </w:tblGrid>
      <w:tr>
        <w:trPr/>
        <w:tc>
          <w:tcPr>
            <w:tcW w:w="185" w:type="dxa"/>
            <w:tcBorders/>
            <w:vAlign w:val="center"/>
          </w:tcPr>
          <w:p>
            <w:pPr>
              <w:pStyle w:val="TableContents"/>
              <w:bidi w:val="0"/>
              <w:spacing w:before="0" w:after="283"/>
              <w:jc w:val="left"/>
              <w:rPr>
                <w:sz w:val="20"/>
              </w:rPr>
            </w:pPr>
            <w:r>
              <w:rPr>
                <w:sz w:val="20"/>
              </w:rPr>
              <w:t>4.</w:t>
            </w:r>
          </w:p>
        </w:tc>
        <w:tc>
          <w:tcPr>
            <w:tcW w:w="2990" w:type="dxa"/>
            <w:tcBorders/>
            <w:vAlign w:val="center"/>
          </w:tcPr>
          <w:p>
            <w:pPr>
              <w:pStyle w:val="TableContents"/>
              <w:bidi w:val="0"/>
              <w:spacing w:before="0" w:after="283"/>
              <w:jc w:val="left"/>
              <w:rPr>
                <w:sz w:val="20"/>
              </w:rPr>
            </w:pPr>
            <w:r>
              <w:rPr>
                <w:i/>
                <w:sz w:val="20"/>
              </w:rPr>
              <w:t>Exercise and Duration of Warrants</w:t>
            </w:r>
            <w:r>
              <w:rPr>
                <w:sz w:val="20"/>
              </w:rPr>
              <w:t xml:space="preserve">. </w:t>
            </w:r>
          </w:p>
        </w:tc>
      </w:tr>
    </w:tbl>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(a) All or any part of this Warrant shall be exercisable by the registered Holder in any manner permitted by this Warrant (including </w:t>
      </w:r>
      <w:r>
        <w:rPr>
          <w:sz w:val="20"/>
          <w:u w:val="single"/>
        </w:rPr>
        <w:t>Section 11</w:t>
      </w:r>
      <w:r>
        <w:rPr>
          <w:sz w:val="20"/>
        </w:rPr>
        <w:t>) at any time and from time to time on or after the Original Issue Date, and such rights shall not expire until exercised in full.</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(b) The Holder may exercise this Warrant by delivering to the Company (i) an exercise notice, in the form attached as </w:t>
      </w:r>
      <w:r>
        <w:rPr>
          <w:sz w:val="20"/>
          <w:u w:val="single"/>
        </w:rPr>
        <w:t>Schedule 1</w:t>
      </w:r>
      <w:r>
        <w:rPr>
          <w:sz w:val="20"/>
        </w:rPr>
        <w:t xml:space="preserve"> hereto (the “</w:t>
      </w:r>
      <w:r>
        <w:rPr>
          <w:b/>
          <w:sz w:val="20"/>
        </w:rPr>
        <w:t>Exercise Notice</w:t>
      </w:r>
      <w:r>
        <w:rPr>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sz w:val="20"/>
          <w:u w:val="single"/>
        </w:rPr>
        <w:t>Section 10</w:t>
      </w:r>
      <w:r>
        <w:rPr>
          <w:sz w:val="20"/>
        </w:rPr>
        <w:t xml:space="preserve"> below), and the date on which the last of such items is delivered to the Company (as determined in accordance with the notice provisions hereof) is an “</w:t>
      </w:r>
      <w:r>
        <w:rPr>
          <w:b/>
          <w:sz w:val="20"/>
        </w:rPr>
        <w:t>Exercise Date</w:t>
      </w:r>
      <w:r>
        <w:rPr>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tbl>
      <w:tblPr>
        <w:tblW w:w="2545" w:type="dxa"/>
        <w:jc w:val="left"/>
        <w:tblInd w:w="0" w:type="dxa"/>
        <w:tblLayout w:type="fixed"/>
        <w:tblCellMar>
          <w:top w:w="0" w:type="dxa"/>
          <w:left w:w="0" w:type="dxa"/>
          <w:bottom w:w="0" w:type="dxa"/>
          <w:right w:w="0" w:type="dxa"/>
        </w:tblCellMar>
      </w:tblPr>
      <w:tblGrid>
        <w:gridCol w:w="185"/>
        <w:gridCol w:w="2360"/>
      </w:tblGrid>
      <w:tr>
        <w:trPr/>
        <w:tc>
          <w:tcPr>
            <w:tcW w:w="185" w:type="dxa"/>
            <w:tcBorders/>
            <w:vAlign w:val="center"/>
          </w:tcPr>
          <w:p>
            <w:pPr>
              <w:pStyle w:val="TableContents"/>
              <w:bidi w:val="0"/>
              <w:spacing w:before="0" w:after="283"/>
              <w:jc w:val="left"/>
              <w:rPr>
                <w:sz w:val="20"/>
              </w:rPr>
            </w:pPr>
            <w:r>
              <w:rPr>
                <w:sz w:val="20"/>
              </w:rPr>
              <w:t>5.</w:t>
            </w:r>
          </w:p>
        </w:tc>
        <w:tc>
          <w:tcPr>
            <w:tcW w:w="2360" w:type="dxa"/>
            <w:tcBorders/>
            <w:vAlign w:val="center"/>
          </w:tcPr>
          <w:p>
            <w:pPr>
              <w:pStyle w:val="TableContents"/>
              <w:bidi w:val="0"/>
              <w:spacing w:before="0" w:after="283"/>
              <w:jc w:val="left"/>
              <w:rPr>
                <w:sz w:val="20"/>
              </w:rPr>
            </w:pPr>
            <w:r>
              <w:rPr>
                <w:i/>
                <w:sz w:val="20"/>
              </w:rPr>
              <w:t>Delivery of Warrant Shares</w:t>
            </w:r>
            <w:r>
              <w:rPr>
                <w:sz w:val="20"/>
              </w:rPr>
              <w:t xml:space="preserve">. </w:t>
            </w:r>
          </w:p>
        </w:tc>
      </w:tr>
    </w:tbl>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(a) Upon exercise of this Warrant, the Company shall promptly (but in no event later than the number of Trading Days comprising the Standard Settlement Period following the Exercise Date; </w:t>
      </w:r>
      <w:r>
        <w:rPr>
          <w:i/>
          <w:sz w:val="20"/>
        </w:rPr>
        <w:t>provided</w:t>
      </w:r>
      <w:r>
        <w:rPr>
          <w:sz w:val="20"/>
        </w:rPr>
        <w:t>, that if any day within the Standard Settlement Period is a day on which banks in British Columbia, Canada are not open for business, the Standard Settlement Period shall be extended by one Trading Day for each such day), upon the request of the Holder, credit such aggregate number of Common Shares specified by the Holder in the Exercise Notice and to which the Holder is entitled pursuant to such exercise (the “</w:t>
      </w:r>
      <w:r>
        <w:rPr>
          <w:b/>
          <w:sz w:val="20"/>
        </w:rPr>
        <w:t>Exercise Shares</w:t>
      </w:r>
      <w:r>
        <w:rPr>
          <w:sz w:val="20"/>
        </w:rPr>
        <w:t>”) to the Holder’s or its designee’s balance account with The Depository Trust Company (“</w:t>
      </w:r>
      <w:r>
        <w:rPr>
          <w:b/>
          <w:sz w:val="20"/>
        </w:rPr>
        <w:t>DTC</w:t>
      </w:r>
      <w:r>
        <w:rPr>
          <w:sz w:val="20"/>
        </w:rPr>
        <w:t>”) through its Deposit Withdrawal At Custodian system, or if the Transfer Agent is then a participant in the DTC Fast Automated Securities Transfer Program (the “</w:t>
      </w:r>
      <w:r>
        <w:rPr>
          <w:b/>
          <w:sz w:val="20"/>
        </w:rPr>
        <w:t>FAST Program</w:t>
      </w:r>
      <w:r>
        <w:rPr>
          <w:sz w:val="20"/>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(b) If the Company fails to deliver to the Holder or its designee Exercise Shares in the manner required pursuant to Section 5(a) within the Standard Settlement Period following the Exercise Date (other than a failure caused by incorrect or incomplete information provided by the Holder to the Company) and the Holder purchases (in an open market transaction or otherwise) Common Shares to deliver in satisfaction of a sale by the Holder of the Warrant Shares which the Holder anticipated receiving upon such exercise (a “</w:t>
      </w:r>
      <w:r>
        <w:rPr>
          <w:b/>
          <w:sz w:val="20"/>
        </w:rPr>
        <w:t>Buy-In</w:t>
      </w:r>
      <w:r>
        <w:rPr>
          <w:sz w:val="20"/>
        </w:rPr>
        <w:t>”) but did not receive within the Standard Settlement Period, then the Company shall, within three (3) Trading Days after the Holder’s request and in the Holder’s sole discretion, either (1) pay in cash to the Holder an amount equal to the Holder’s total purchase price (including brokerage commissions, if any) for the Common Shares so purchased, at which point the Company’s obligation to issue and deliver such Exercise Shares shall terminate or (2) promptly honor its obligation to deliver to the Holder or its designee the Exercise Shares pursuant to Section 5(a) and pay cash to the Holder in an amount equal to the excess (if any) of Holder’s total purchase price (including brokerage commissions, if any) for the Common Shares so purchased in the Buy-In, less the product of (A) the number of Common Shares purchased in the Buy-In, times (B) the Closing Sale Price of a Common Share on the Exercise Date.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(c) To the extent permitted by law and subject to </w:t>
      </w:r>
      <w:r>
        <w:rPr>
          <w:sz w:val="20"/>
          <w:u w:val="single"/>
        </w:rPr>
        <w:t>Section 5(b)</w:t>
      </w:r>
      <w:r>
        <w:rPr>
          <w:sz w:val="20"/>
        </w:rPr>
        <w:t xml:space="preserve">, the Company’s obligations to issue and deliver Warrant Shares in accordance with and subject to the terms hereof (including the limitations set forth in </w:t>
      </w:r>
      <w:r>
        <w:rPr>
          <w:sz w:val="20"/>
          <w:u w:val="single"/>
        </w:rPr>
        <w:t>Section 11</w:t>
      </w:r>
      <w:r>
        <w:rPr>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sz w:val="20"/>
          <w:u w:val="single"/>
        </w:rPr>
        <w:t>Section 5(b)</w:t>
      </w:r>
      <w:r>
        <w:rPr>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 </w:t>
      </w:r>
      <w:r>
        <w:rPr>
          <w:i/>
          <w:sz w:val="20"/>
        </w:rPr>
        <w:t>provided</w:t>
      </w:r>
      <w:r>
        <w:rPr>
          <w:sz w:val="20"/>
        </w:rPr>
        <w:t xml:space="preserve">, </w:t>
      </w:r>
      <w:r>
        <w:rPr>
          <w:i/>
          <w:sz w:val="20"/>
        </w:rPr>
        <w:t>however</w:t>
      </w:r>
      <w:r>
        <w:rPr>
          <w:sz w:val="20"/>
        </w:rPr>
        <w:t>, that the Holder shall not be entitled to both (i) require the Company to reinstate the portion of the Warrant and equivalent number of Warrant Shares for which such exercise was not timely honored and (ii) receive the number of Common Shares that would have been issued if the Company had timely complied with its delivery requirements under Section 5(a).</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6. </w:t>
      </w:r>
      <w:r>
        <w:rPr>
          <w:i/>
          <w:sz w:val="20"/>
        </w:rPr>
        <w:t>Charges, Taxes and Expenses</w:t>
      </w:r>
      <w:r>
        <w:rPr>
          <w:sz w:val="20"/>
        </w:rPr>
        <w:t xml:space="preserve">. Issuance and delivery of Common Shares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i/>
          <w:sz w:val="20"/>
        </w:rPr>
        <w:t>provided</w:t>
      </w:r>
      <w:r>
        <w:rPr>
          <w:sz w:val="20"/>
        </w:rPr>
        <w:t xml:space="preserve">, </w:t>
      </w:r>
      <w:r>
        <w:rPr>
          <w:i/>
          <w:sz w:val="20"/>
        </w:rPr>
        <w:t>however</w:t>
      </w:r>
      <w:r>
        <w:rPr>
          <w:sz w:val="20"/>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7. </w:t>
      </w:r>
      <w:r>
        <w:rPr>
          <w:i/>
          <w:sz w:val="20"/>
        </w:rPr>
        <w:t>Replacement of Warrant</w:t>
      </w:r>
      <w:r>
        <w:rPr>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Applicants for a New Warrant under such circumstances shall also comply with such other reasonable regulations and procedures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8. </w:t>
      </w:r>
      <w:r>
        <w:rPr>
          <w:i/>
          <w:sz w:val="20"/>
        </w:rPr>
        <w:t>Reservation of Warrant Shares</w:t>
      </w:r>
      <w:r>
        <w:rPr>
          <w:sz w:val="20"/>
        </w:rPr>
        <w:t xml:space="preserve">. The Company covenants that it will, at all times while this Warrant is outstanding, reserve and keep available out of the aggregate of its authorized but unissued and otherwise unreserved Common Shares,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sz w:val="20"/>
          <w:u w:val="single"/>
        </w:rPr>
        <w:t>Section 9</w:t>
      </w:r>
      <w:r>
        <w:rPr>
          <w:sz w:val="20"/>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Common Shares may be issued as provided herein without violation of any applicable law or regulation, or of any requirements of any securities exchange or automated quotation system upon which the Common Shares may be listed. The Company further covenants that it will not, without the prior written consent of the Holder, take any actions to increase the par value of the Common Shares at any time while this Warrant is outstanding.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9. </w:t>
      </w:r>
      <w:r>
        <w:rPr>
          <w:i/>
          <w:sz w:val="20"/>
        </w:rPr>
        <w:t>Certain Adjustments</w:t>
      </w:r>
      <w:r>
        <w:rPr>
          <w:sz w:val="20"/>
        </w:rPr>
        <w:t xml:space="preserve">. The Exercise Price and number of Warrant Shares issuable upon exercise of this Warrant (the “Number of Warrant Shares”) are subject to adjustment from time to time as set forth in this </w:t>
      </w:r>
      <w:r>
        <w:rPr>
          <w:sz w:val="20"/>
          <w:u w:val="single"/>
        </w:rPr>
        <w:t>Section 9</w:t>
      </w:r>
      <w:r>
        <w:rPr>
          <w:sz w:val="20"/>
        </w:rPr>
        <w:t>.</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(a) </w:t>
      </w:r>
      <w:r>
        <w:rPr>
          <w:sz w:val="20"/>
          <w:u w:val="single"/>
        </w:rPr>
        <w:t>Share Dividends and Splits</w:t>
      </w:r>
      <w:r>
        <w:rPr>
          <w:sz w:val="20"/>
        </w:rPr>
        <w:t>. If the Company, at any time while this Warrant is outstanding, (i) pays a stock dividend on its Common Shares or otherwise makes a distribution on any class of share capital issued and outstanding on the Original Issue Date and in accordance with the terms of such shares on the Original Issue Date or as amended, that is payable in Common Shares, (ii) subdivides its outstanding Common Shares into a larger number of Common Shares, (iii) combines its outstanding Common Shares into a smaller number of Common Shares or (iv) issues by reclassification of shares of share capital any additional Common Shares of the Company, then in each such case the Number of Warrant Shares shall be multiplied by a fraction, the numerator of which shall be the number of Common Shares outstanding immediately after such event and the denominator of which shall be the number of Common Shares outstanding immediately before such event. Any adjustment made pursuant to clause (i) of this paragraph shall become effective immediately after the record date for the determination of shareholders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(b) </w:t>
      </w:r>
      <w:r>
        <w:rPr>
          <w:sz w:val="20"/>
          <w:u w:val="single"/>
        </w:rPr>
        <w:t>Pro Rata Distributions</w:t>
      </w:r>
      <w:r>
        <w:rPr>
          <w:sz w:val="20"/>
        </w:rPr>
        <w:t xml:space="preserve">. If, on or after the Original Issue Date, the Company shall declare or make any dividend or other pro rata distribution of its assets (or rights to acquire its assets) to holders of Common Shares, by way of return of capital or otherwise (including, without limitation, any distribution of cash, share or other securities, property, options, evidence of indebtedness or any other assets by way of a dividend, spin off, reclassification, corporate rearrangement, scheme of arrangement or other similar transaction, but, for the avoidance of doubt, excluding any distribution of Common Shares subject to </w:t>
      </w:r>
      <w:r>
        <w:rPr>
          <w:sz w:val="20"/>
          <w:u w:val="single"/>
        </w:rPr>
        <w:t>Section 9(a)</w:t>
      </w:r>
      <w:r>
        <w:rPr>
          <w:sz w:val="20"/>
        </w:rPr>
        <w:t xml:space="preserve">, any distribution of Purchase Rights (as defined below) subject to </w:t>
      </w:r>
      <w:r>
        <w:rPr>
          <w:sz w:val="20"/>
          <w:u w:val="single"/>
        </w:rPr>
        <w:t>Section 9(c)</w:t>
      </w:r>
      <w:r>
        <w:rPr>
          <w:sz w:val="20"/>
        </w:rPr>
        <w:t xml:space="preserve"> and any Fundamental Transaction (as defined below) subject to </w:t>
      </w:r>
      <w:r>
        <w:rPr>
          <w:sz w:val="20"/>
          <w:u w:val="single"/>
        </w:rPr>
        <w:t>Section 9(d)</w:t>
      </w:r>
      <w:r>
        <w:rPr>
          <w:sz w:val="20"/>
        </w:rPr>
        <w:t>) (a “</w:t>
      </w:r>
      <w:r>
        <w:rPr>
          <w:b/>
          <w:sz w:val="20"/>
        </w:rPr>
        <w:t>Distribution</w:t>
      </w:r>
      <w:r>
        <w:rPr>
          <w:sz w:val="20"/>
        </w:rPr>
        <w: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Common Shares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Common Shares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(c) </w:t>
      </w:r>
      <w:r>
        <w:rPr>
          <w:sz w:val="20"/>
          <w:u w:val="single"/>
        </w:rPr>
        <w:t>Purchase Rights</w:t>
      </w:r>
      <w:r>
        <w:rPr>
          <w:sz w:val="20"/>
        </w:rPr>
        <w:t>. If at any time on or after the Original Issue Date, the Company grants, issues or sells any Options, Convertible Securities or rights to purchase shares, warrants, securities or other property, in each case pro rata to the record holders of any class of Common Shares (the “</w:t>
      </w:r>
      <w:r>
        <w:rPr>
          <w:b/>
          <w:sz w:val="20"/>
        </w:rPr>
        <w:t>Purchase Rights</w:t>
      </w:r>
      <w:r>
        <w:rPr>
          <w:sz w:val="20"/>
        </w:rPr>
        <w:t xml:space="preserve">”),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Shares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Shares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sz w:val="20"/>
          <w:u w:val="single"/>
        </w:rPr>
        <w:t>Section 9(c)</w:t>
      </w:r>
      <w:r>
        <w:rPr>
          <w:sz w:val="20"/>
        </w:rPr>
        <w:t>, (i) “Options” means any rights, warrants or options to subscribe for or purchase Common Shares or Convertible Securities and (ii) “Convertible Securities” mean any shares or securities (other than Options) directly or indirectly convertible into or exercisable or exchangeable for Common Shares.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(d) </w:t>
      </w:r>
      <w:r>
        <w:rPr>
          <w:sz w:val="20"/>
          <w:u w:val="single"/>
        </w:rPr>
        <w:t>Fundamental Transactions</w:t>
      </w:r>
      <w:r>
        <w:rPr>
          <w:sz w:val="20"/>
        </w:rPr>
        <w:t xml:space="preserve">. If, at any time while this Warrant is outstanding (i) the Company effects any merger or consolidation of the Company with or into another Person, in which the Company is not the surviving entity or in which the shareholders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share capital tender shares representing more than 50% of the voting power of the share capital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50% of the voting power of the share capital of the Company (except for any such transaction in which the shareholders of the Company immediately prior to such transaction maintain, in substantially the same proportions, the voting power of such Person immediately after the transaction) or (v) the Company effects any reclassification of the Common Shares or any compulsory share exchange pursuant to which the Common Shares are effectively converted into or exchanged for other securities, cash or property (other than as a result of a subdivision or combination of Common Shares covered by </w:t>
      </w:r>
      <w:r>
        <w:rPr>
          <w:sz w:val="20"/>
          <w:u w:val="single"/>
        </w:rPr>
        <w:t>Section 9(a)</w:t>
      </w:r>
      <w:r>
        <w:rPr>
          <w:sz w:val="20"/>
        </w:rPr>
        <w:t xml:space="preserve"> above) (in any such case, a “</w:t>
      </w:r>
      <w:r>
        <w:rPr>
          <w:b/>
          <w:sz w:val="20"/>
        </w:rPr>
        <w:t>Fundamental Transaction</w:t>
      </w:r>
      <w:r>
        <w:rPr>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b/>
          <w:sz w:val="20"/>
        </w:rPr>
        <w:t>Alternate Consideration</w:t>
      </w:r>
      <w:r>
        <w:rPr>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sz w:val="20"/>
          <w:u w:val="single"/>
        </w:rPr>
        <w:t>Section 10</w:t>
      </w:r>
      <w:r>
        <w:rPr>
          <w:sz w:val="20"/>
        </w:rPr>
        <w:t xml:space="preserve"> below or (ii) prior to, simultaneously with or promptly following the consummation thereof, any successor to the Company, surviving entity or other Person (including any purchaser of assets of the Company) assumes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(e) </w:t>
      </w:r>
      <w:r>
        <w:rPr>
          <w:sz w:val="20"/>
          <w:u w:val="single"/>
        </w:rPr>
        <w:t>Number of Warrant Shares</w:t>
      </w:r>
      <w:r>
        <w:rPr>
          <w:sz w:val="20"/>
        </w:rPr>
        <w:t xml:space="preserve">. Simultaneously with any adjustment to the Exercise Price pursuant to </w:t>
      </w:r>
      <w:r>
        <w:rPr>
          <w:sz w:val="20"/>
          <w:u w:val="single"/>
        </w:rPr>
        <w:t>Section 9</w:t>
      </w:r>
      <w:r>
        <w:rPr>
          <w:sz w:val="20"/>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(f) </w:t>
      </w:r>
      <w:r>
        <w:rPr>
          <w:sz w:val="20"/>
          <w:u w:val="single"/>
        </w:rPr>
        <w:t>Calculations</w:t>
      </w:r>
      <w:r>
        <w:rPr>
          <w:sz w:val="20"/>
        </w:rPr>
        <w:t xml:space="preserve">. All calculations under this </w:t>
      </w:r>
      <w:r>
        <w:rPr>
          <w:sz w:val="20"/>
          <w:u w:val="single"/>
        </w:rPr>
        <w:t>Section 9</w:t>
      </w:r>
      <w:r>
        <w:rPr>
          <w:sz w:val="20"/>
        </w:rPr>
        <w:t xml:space="preserve"> shall be made to the nearest one-tenth of one cent or the nearest share, as applicable.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(g) </w:t>
      </w:r>
      <w:r>
        <w:rPr>
          <w:sz w:val="20"/>
          <w:u w:val="single"/>
        </w:rPr>
        <w:t>Notice of Adjustments</w:t>
      </w:r>
      <w:r>
        <w:rPr>
          <w:sz w:val="20"/>
        </w:rPr>
        <w:t xml:space="preserve">. Upon the occurrence of each adjustment pursuant to this </w:t>
      </w:r>
      <w:r>
        <w:rPr>
          <w:sz w:val="20"/>
          <w:u w:val="single"/>
        </w:rPr>
        <w:t>Section 9</w:t>
      </w:r>
      <w:r>
        <w:rPr>
          <w:sz w:val="20"/>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(h) </w:t>
      </w:r>
      <w:r>
        <w:rPr>
          <w:sz w:val="20"/>
          <w:u w:val="single"/>
        </w:rPr>
        <w:t>Notice of Corporate Events</w:t>
      </w:r>
      <w:r>
        <w:rPr>
          <w:sz w:val="20"/>
        </w:rPr>
        <w:t xml:space="preserve">. If, while this Warrant is outstanding, the Company (i) declares a dividend or any other distribution of cash, securities or other property in respect of its Common Shares, including, without limitation, any granting of rights or warrants to subscribe for or purchase any share capital of the Company or any subsidiary, (ii) authorizes or approves, enters into any agreement contemplating or solicits shareholder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Shares in order to participate in or vote with respect to such transaction; </w:t>
      </w:r>
      <w:r>
        <w:rPr>
          <w:i/>
          <w:sz w:val="20"/>
        </w:rPr>
        <w:t>provided, however</w:t>
      </w:r>
      <w:r>
        <w:rPr>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shareholder approval for any Fundamental Transaction contemplated by </w:t>
      </w:r>
      <w:r>
        <w:rPr>
          <w:sz w:val="20"/>
          <w:u w:val="single"/>
        </w:rPr>
        <w:t>Section 9(d)</w:t>
      </w:r>
      <w:r>
        <w:rPr>
          <w:sz w:val="20"/>
        </w:rPr>
        <w:t xml:space="preserve">, other than a Fundamental Transaction under clause (iii) of </w:t>
      </w:r>
      <w:r>
        <w:rPr>
          <w:sz w:val="20"/>
          <w:u w:val="single"/>
        </w:rPr>
        <w:t>Section 9(d)</w:t>
      </w:r>
      <w:r>
        <w:rPr>
          <w:sz w:val="20"/>
        </w:rPr>
        <w:t xml:space="preserve">, then, except if such notice and the contents thereof shall be deemed to constitute material non-public information, the Company shall deliver to the Holder a notice of such Fundamental Transaction at least ten (10) days prior to the date such Fundamental Transaction is consummated. Holder agrees to maintain any information disclosed pursuant to this </w:t>
      </w:r>
      <w:r>
        <w:rPr>
          <w:sz w:val="20"/>
          <w:u w:val="single"/>
        </w:rPr>
        <w:t>Section 9(h)</w:t>
      </w:r>
      <w:r>
        <w:rPr>
          <w:sz w:val="20"/>
        </w:rPr>
        <w:t xml:space="preserve"> in confidence until such information is publicly available, and shall comply with applicable law with respect to trading in the Company’s securities following receipt of any such information.</w:t>
      </w:r>
    </w:p>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 xml:space="preserve">10. </w:t>
      </w:r>
      <w:r>
        <w:rPr>
          <w:i/>
          <w:sz w:val="20"/>
        </w:rPr>
        <w:t>Payment of Exercise Price</w:t>
      </w:r>
      <w:r>
        <w:rPr>
          <w:sz w:val="20"/>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X = Y [(A-B)/A]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where: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X” equals the number of Warrant Shares to be issued to the Holder;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Y” equals the total number of Warrant Shares with respect to which this Warrant is then being exercised;</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A” equals the Closing Sale Price of the Common Shares (as reported by Bloomberg Financial Markets) as of the Trading Day on the date immediately preceding the Exercise Date; and</w:t>
      </w:r>
    </w:p>
    <w:p>
      <w:pPr>
        <w:pStyle w:val="TextBody"/>
        <w:bidi w:val="0"/>
        <w:spacing w:before="0" w:after="0"/>
        <w:ind w:left="0" w:right="0" w:firstLine="490"/>
        <w:jc w:val="left"/>
        <w:rPr/>
      </w:pPr>
      <w:r>
        <w:rPr/>
        <w:t> </w:t>
      </w:r>
    </w:p>
    <w:p>
      <w:pPr>
        <w:pStyle w:val="TextBody"/>
        <w:bidi w:val="0"/>
        <w:spacing w:before="0" w:after="0"/>
        <w:ind w:left="0" w:right="0" w:hanging="0"/>
        <w:jc w:val="left"/>
        <w:rPr/>
      </w:pPr>
      <w:r>
        <w:rPr/>
        <w:t>“</w:t>
      </w:r>
      <w:r>
        <w:rPr>
          <w:sz w:val="20"/>
        </w:rPr>
        <w:t>B” equals the Exercise Price then in effect for the applicable Warrant Shares at the time of such exercise.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i/>
          <w:sz w:val="20"/>
        </w:rPr>
        <w:t>provided</w:t>
      </w:r>
      <w:r>
        <w:rPr>
          <w:sz w:val="20"/>
        </w:rPr>
        <w:t xml:space="preserve">,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w:t>
      </w:r>
      <w:r>
        <w:rPr>
          <w:sz w:val="20"/>
          <w:u w:val="single"/>
        </w:rPr>
        <w:t>Section 10</w:t>
      </w:r>
      <w:r>
        <w:rPr>
          <w:sz w:val="20"/>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Section 5(b) (Buy-In remedy) and </w:t>
      </w:r>
      <w:r>
        <w:rPr>
          <w:sz w:val="20"/>
          <w:u w:val="single"/>
        </w:rPr>
        <w:t>Section 12</w:t>
      </w:r>
      <w:r>
        <w:rPr>
          <w:sz w:val="20"/>
        </w:rPr>
        <w:t xml:space="preserve"> (payment of cash in lieu of fractional shares), in no event will the exercise of this Warrant be settled in cash.</w:t>
      </w:r>
    </w:p>
    <w:p>
      <w:pPr>
        <w:pStyle w:val="TextBody"/>
        <w:bidi w:val="0"/>
        <w:spacing w:before="0" w:after="0"/>
        <w:ind w:left="0" w:right="0" w:hanging="0"/>
        <w:jc w:val="left"/>
        <w:rPr/>
      </w:pPr>
      <w:r>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sz w:val="20"/>
              </w:rPr>
            </w:pPr>
            <w:r>
              <w:rPr>
                <w:sz w:val="20"/>
              </w:rPr>
              <w:t>11.</w:t>
            </w:r>
          </w:p>
        </w:tc>
        <w:tc>
          <w:tcPr>
            <w:tcW w:w="2045" w:type="dxa"/>
            <w:tcBorders/>
            <w:vAlign w:val="center"/>
          </w:tcPr>
          <w:p>
            <w:pPr>
              <w:pStyle w:val="TableContents"/>
              <w:bidi w:val="0"/>
              <w:spacing w:before="0" w:after="283"/>
              <w:jc w:val="left"/>
              <w:rPr>
                <w:sz w:val="20"/>
              </w:rPr>
            </w:pPr>
            <w:r>
              <w:rPr>
                <w:i/>
                <w:sz w:val="20"/>
              </w:rPr>
              <w:t>Limitations on Exercise</w:t>
            </w:r>
            <w:r>
              <w:rPr>
                <w:sz w:val="20"/>
              </w:rPr>
              <w:t xml:space="preserve">. </w:t>
            </w:r>
          </w:p>
        </w:tc>
      </w:tr>
    </w:tbl>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(a) Notwithstanding anything to the contrary contained herein, the Company shall not effect the exercise of any portion of this Warrant, and the Holder of the Warrant shall not have the right to exercise any portion of the Warrant, and any such exercise shall be null and void and cancelled ab initio and treated as if the exercise had not been made, to the extent that immediately prior to or following such exercise, the Holder, together with the Attribution Parties, collectively beneficially owns or would beneficially own as determined in accordance with Section 13(d) of the Exchange Act and the rules promulgated thereunder, in excess of [4.99%]/[9.99%] (the “</w:t>
      </w:r>
      <w:r>
        <w:rPr>
          <w:b/>
          <w:sz w:val="20"/>
        </w:rPr>
        <w:t>Maximum Percentage</w:t>
      </w:r>
      <w:r>
        <w:rPr>
          <w:sz w:val="20"/>
        </w:rPr>
        <w:t xml:space="preserve">”) of the Common Shares that would be issued and outstanding following such exercise. For purposes of calculating beneficial ownership for determining whether the Maximum Percentage is or will be exceeded, the aggregate number of Common Shares held and/or beneficially owned by the Holder together with the Attribution Parties, shall include the number of Common Shares held and/or beneficially owned by the Holder together with the Attribution Parties plus the number of Common Shares issuable upon exercise of the relevant Warrant with respect to which the determination is being made but shall exclude the number of Common Shares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shares or warrants) that are subject to a limitation on conversion or exercise analogous to the limitation contained herein. For purposes of this </w:t>
      </w:r>
      <w:r>
        <w:rPr>
          <w:sz w:val="20"/>
          <w:u w:val="single"/>
        </w:rPr>
        <w:t>Section 11(a)</w:t>
      </w:r>
      <w:r>
        <w:rPr>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Common Shares, a Holder of the Warrant may rely on the number of outstanding Common Shares as reflected in (1) the Company’s most recent Form 10-K, Form 10-Q, Current Report on Form 8-K or other public filing with the Commission, as the case may be, (2) a more recent public announcement by the Company or (3) any other notice by the Company or the Company’s transfer agent setting forth the number of Common Shares outstanding (such issued and outstanding Common Shares, the “</w:t>
      </w:r>
      <w:r>
        <w:rPr>
          <w:b/>
          <w:sz w:val="20"/>
        </w:rPr>
        <w:t>Reported Outstanding Share Number</w:t>
      </w:r>
      <w:r>
        <w:rPr>
          <w:sz w:val="20"/>
        </w:rPr>
        <w:t xml:space="preserve">”). For any reason at any time, upon the written request of the Holder, the Company shall within one (1) Business Day confirm in writing to the Holder the number of Common Shares then outstanding. The Holder shall disclose to the Company the number of Common Shares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Common Shares is less than the Reported Outstanding Share Number, the Company shall (i) notify the Holder in writing of the number of Common Shares then outstanding and, to the extent that such Exercise Notice would otherwise cause the Holder’s, together with the Attribution Parties’, beneficial ownership, as determined pursuant to this </w:t>
      </w:r>
      <w:r>
        <w:rPr>
          <w:sz w:val="20"/>
          <w:u w:val="single"/>
        </w:rPr>
        <w:t>Section 11(a)</w:t>
      </w:r>
      <w:r>
        <w:rPr>
          <w:sz w:val="20"/>
        </w:rPr>
        <w:t>, to exceed the Maximum Percentage, the Holder must notify the Company of a reduced number of Warrant Shares to be purchased pursuant to such Exercise Notice (the number of shares by which such purchase is reduced, the “</w:t>
      </w:r>
      <w:r>
        <w:rPr>
          <w:b/>
          <w:sz w:val="20"/>
        </w:rPr>
        <w:t>Reduction Shares</w:t>
      </w:r>
      <w:r>
        <w:rPr>
          <w:sz w:val="20"/>
        </w:rPr>
        <w:t>”) and (ii) as soon as reasonably practicable, the Company shall return to the Holder any exercise price paid by the Holder for the Reduction Shares. In any case, the number of outstanding Common Shares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Shares to the Holder upon exercise of this Warrant results in the Holder, together with the Attribution Parties, being deemed to beneficially own, in the aggregate, more than the Maximum Percentage of the number of outstanding Common Shares (as determined under Section 13(d) of the Exchange Act), the number of shares so issued by which the Holder’s, together with the Attribution Parties’, aggregate beneficial ownership exceeds the Maximum Percentage (the “</w:t>
      </w:r>
      <w:r>
        <w:rPr>
          <w:b/>
          <w:sz w:val="20"/>
        </w:rPr>
        <w:t>Excess Shares</w:t>
      </w:r>
      <w:r>
        <w:rPr>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9.99% specified in such notice; </w:t>
      </w:r>
      <w:r>
        <w:rPr>
          <w:i/>
          <w:sz w:val="20"/>
        </w:rPr>
        <w:t>provided</w:t>
      </w:r>
      <w:r>
        <w:rPr>
          <w:sz w:val="20"/>
        </w:rPr>
        <w:t>, that any increase in the Maximum Percentage will not be effective until the sixty-first (61st) day after such notice is delivered to the Company and shall not negatively affect any partial exercise effected prior to such change.</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(b) This </w:t>
      </w:r>
      <w:r>
        <w:rPr>
          <w:sz w:val="20"/>
          <w:u w:val="single"/>
        </w:rPr>
        <w:t>Section 11</w:t>
      </w:r>
      <w:r>
        <w:rPr>
          <w:sz w:val="20"/>
        </w:rPr>
        <w:t xml:space="preserve"> shall not restrict the number of Common Shares which a Holder or the Attribution Parties may receive or beneficially own in order to determine the amount of securities or other consideration that such Holder or the Attribution Parties may receive in the event of a Fundamental Transaction as contemplated in </w:t>
      </w:r>
      <w:r>
        <w:rPr>
          <w:sz w:val="20"/>
          <w:u w:val="single"/>
        </w:rPr>
        <w:t>Section 9(d)</w:t>
      </w:r>
      <w:r>
        <w:rPr>
          <w:sz w:val="20"/>
        </w:rPr>
        <w:t xml:space="preserve"> of this Warrant. For purposes of clarity, the Common Shares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Rule 16a-1(a)(1) promulgated thereunder.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sz w:val="20"/>
          <w:u w:val="single"/>
        </w:rPr>
        <w:t>Section 11(a)</w:t>
      </w:r>
      <w:r>
        <w:rPr>
          <w:sz w:val="20"/>
        </w:rPr>
        <w:t xml:space="preserve"> to the extent necessary to correct this paragraph or any portion of this paragraph which may be defective or inconsistent with the intended beneficial ownership limitation contained in this </w:t>
      </w:r>
      <w:r>
        <w:rPr>
          <w:sz w:val="20"/>
          <w:u w:val="single"/>
        </w:rPr>
        <w:t>Section 11(a)</w:t>
      </w:r>
      <w:r>
        <w:rPr>
          <w:sz w:val="20"/>
        </w:rPr>
        <w:t xml:space="preserve">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 xml:space="preserve">12. </w:t>
      </w:r>
      <w:r>
        <w:rPr>
          <w:i/>
          <w:sz w:val="20"/>
        </w:rPr>
        <w:t>No Fractional Shares</w:t>
      </w:r>
      <w:r>
        <w:rPr>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13. </w:t>
      </w:r>
      <w:r>
        <w:rPr>
          <w:i/>
          <w:sz w:val="20"/>
        </w:rPr>
        <w:t>Notices</w:t>
      </w:r>
      <w:r>
        <w:rPr>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in the books and records of the warrant agent prior to 5:30 P.M., New York City time, on a Trading Day, (ii) the next Trading Day after the date of transmission, if such notice or communication is delivered via confirmed e-mail at the e-mail address specified in the books and records of the warrant agent on a day that is not a Trading Day or later than 5:30 P.M., New York City time, on any Trading Day, (iii) the Trading Day following the date of mailing, if sent by United States Express Mail or a nationally recognized overnight courier service, in each case specifying next business day delivery, or (iv) upon actual receipt by the Person to whom such notice is required to be given, if by hand delivery.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14. </w:t>
      </w:r>
      <w:r>
        <w:rPr>
          <w:i/>
          <w:sz w:val="20"/>
        </w:rPr>
        <w:t>Warrant Agent</w:t>
      </w:r>
      <w:r>
        <w:rPr>
          <w:sz w:val="20"/>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tbl>
      <w:tblPr>
        <w:tblW w:w="1600" w:type="dxa"/>
        <w:jc w:val="left"/>
        <w:tblInd w:w="0" w:type="dxa"/>
        <w:tblLayout w:type="fixed"/>
        <w:tblCellMar>
          <w:top w:w="0" w:type="dxa"/>
          <w:left w:w="0" w:type="dxa"/>
          <w:bottom w:w="0" w:type="dxa"/>
          <w:right w:w="0" w:type="dxa"/>
        </w:tblCellMar>
      </w:tblPr>
      <w:tblGrid>
        <w:gridCol w:w="290"/>
        <w:gridCol w:w="1310"/>
      </w:tblGrid>
      <w:tr>
        <w:trPr/>
        <w:tc>
          <w:tcPr>
            <w:tcW w:w="290" w:type="dxa"/>
            <w:tcBorders/>
            <w:vAlign w:val="center"/>
          </w:tcPr>
          <w:p>
            <w:pPr>
              <w:pStyle w:val="TableContents"/>
              <w:bidi w:val="0"/>
              <w:spacing w:before="0" w:after="283"/>
              <w:jc w:val="left"/>
              <w:rPr>
                <w:sz w:val="20"/>
              </w:rPr>
            </w:pPr>
            <w:r>
              <w:rPr>
                <w:sz w:val="20"/>
              </w:rPr>
              <w:t>15.</w:t>
            </w:r>
          </w:p>
        </w:tc>
        <w:tc>
          <w:tcPr>
            <w:tcW w:w="1310" w:type="dxa"/>
            <w:tcBorders/>
            <w:vAlign w:val="center"/>
          </w:tcPr>
          <w:p>
            <w:pPr>
              <w:pStyle w:val="TableContents"/>
              <w:bidi w:val="0"/>
              <w:spacing w:before="0" w:after="283"/>
              <w:jc w:val="left"/>
              <w:rPr>
                <w:sz w:val="20"/>
              </w:rPr>
            </w:pPr>
            <w:r>
              <w:rPr>
                <w:i/>
                <w:sz w:val="20"/>
              </w:rPr>
              <w:t>Miscellaneous</w:t>
            </w:r>
            <w:r>
              <w:rPr>
                <w:sz w:val="20"/>
              </w:rPr>
              <w:t xml:space="preserve">. </w:t>
            </w:r>
          </w:p>
        </w:tc>
      </w:tr>
    </w:tbl>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(a) </w:t>
      </w:r>
      <w:r>
        <w:rPr>
          <w:sz w:val="20"/>
          <w:u w:val="single"/>
        </w:rPr>
        <w:t>No Rights as a Shareholder</w:t>
      </w:r>
      <w:r>
        <w:rPr>
          <w:sz w:val="20"/>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shares, reclassification of shares,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(b) </w:t>
      </w:r>
      <w:r>
        <w:rPr>
          <w:sz w:val="20"/>
          <w:u w:val="single"/>
        </w:rPr>
        <w:t>Authorized Shares</w:t>
      </w:r>
      <w:r>
        <w:rPr>
          <w:sz w:val="20"/>
        </w:rPr>
        <w:t>. (i) Except and to the extent as waived or consented to by the Holder, the Company shall not by any action, including, without limitation, amending its Notice of Articles or Articles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(1) not increase the par value of any Warrant Shares above the amount payable therefor upon such exercise immediately prior to such increase in par value, (2) take all such action as may be necessary or appropriate in order that the Company may validly and legally issue fully paid and non-assessable Warrant Shares upon the exercise of this Warrant, and (3)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720"/>
        <w:jc w:val="left"/>
        <w:rPr/>
      </w:pPr>
      <w:r>
        <w:rPr/>
        <w:t> </w:t>
      </w:r>
    </w:p>
    <w:p>
      <w:pPr>
        <w:pStyle w:val="TextBody"/>
        <w:bidi w:val="0"/>
        <w:spacing w:before="0" w:after="0"/>
        <w:ind w:left="0" w:right="0" w:hanging="0"/>
        <w:jc w:val="left"/>
        <w:rPr>
          <w:sz w:val="20"/>
        </w:rPr>
      </w:pPr>
      <w:r>
        <w:rPr>
          <w:sz w:val="20"/>
        </w:rPr>
        <w:t>(ii)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(c) </w:t>
      </w:r>
      <w:r>
        <w:rPr>
          <w:sz w:val="20"/>
          <w:u w:val="single"/>
        </w:rPr>
        <w:t>Successors and Assigns</w:t>
      </w:r>
      <w:r>
        <w:rPr>
          <w:sz w:val="20"/>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(d) </w:t>
      </w:r>
      <w:r>
        <w:rPr>
          <w:sz w:val="20"/>
          <w:u w:val="single"/>
        </w:rPr>
        <w:t>Amendment and Waiver</w:t>
      </w:r>
      <w:r>
        <w:rPr>
          <w:sz w:val="20"/>
        </w:rPr>
        <w:t>. This Warrant may be amended only in writing signed by the Company and the Holder, or their successors and assigns. Except as otherwise provided herein, Company may take any action herein prohibited, or omit to perform any act herein required to be performed by it, only if the Company has obtained the written consent of the Holder.</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(e) </w:t>
      </w:r>
      <w:r>
        <w:rPr>
          <w:sz w:val="20"/>
          <w:u w:val="single"/>
        </w:rPr>
        <w:t>Acceptance</w:t>
      </w:r>
      <w:r>
        <w:rPr>
          <w:sz w:val="20"/>
        </w:rPr>
        <w:t>. Receipt of this Warrant by the Holder shall constitute acceptance of and agreement to all of the terms and conditions contained herein.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(f) </w:t>
      </w:r>
      <w:r>
        <w:rPr>
          <w:sz w:val="20"/>
          <w:u w:val="single"/>
        </w:rPr>
        <w:t>Governing Law; Jurisdiction</w:t>
      </w:r>
      <w:r>
        <w:rPr>
          <w:sz w:val="20"/>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 xml:space="preserve">(g) </w:t>
      </w:r>
      <w:r>
        <w:rPr>
          <w:sz w:val="20"/>
          <w:u w:val="single"/>
        </w:rPr>
        <w:t>Headings</w:t>
      </w:r>
      <w:r>
        <w:rPr>
          <w:sz w:val="20"/>
        </w:rPr>
        <w:t>. The headings herein are for convenience only, do not constitute a part of this Warrant and shall not be deemed to limit or affect any of the provisions hereof.</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 xml:space="preserve">(h) </w:t>
      </w:r>
      <w:r>
        <w:rPr>
          <w:sz w:val="20"/>
          <w:u w:val="single"/>
        </w:rPr>
        <w:t>Severability</w:t>
      </w:r>
      <w:r>
        <w:rPr>
          <w:sz w:val="20"/>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pStyle w:val="TextBody"/>
        <w:bidi w:val="0"/>
        <w:spacing w:before="0" w:after="0"/>
        <w:ind w:left="0" w:right="0" w:firstLine="490"/>
        <w:jc w:val="left"/>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IN WITNESS WHEREOF, the Company has caused this Warrant to be duly executed by its authorized officer as of the date first indicated above.</w:t>
      </w:r>
    </w:p>
    <w:p>
      <w:pPr>
        <w:pStyle w:val="TextBody"/>
        <w:bidi w:val="0"/>
        <w:spacing w:before="0" w:after="0"/>
        <w:ind w:left="0" w:right="0" w:hanging="0"/>
        <w:jc w:val="left"/>
        <w:rPr/>
      </w:pPr>
      <w:r>
        <w:rPr/>
        <w:t> </w:t>
      </w:r>
    </w:p>
    <w:tbl>
      <w:tblPr>
        <w:tblW w:w="2150" w:type="dxa"/>
        <w:jc w:val="left"/>
        <w:tblInd w:w="0" w:type="dxa"/>
        <w:tblLayout w:type="fixed"/>
        <w:tblCellMar>
          <w:top w:w="0" w:type="dxa"/>
          <w:left w:w="0" w:type="dxa"/>
          <w:bottom w:w="0" w:type="dxa"/>
          <w:right w:w="0" w:type="dxa"/>
        </w:tblCellMar>
      </w:tblPr>
      <w:tblGrid>
        <w:gridCol w:w="2075"/>
        <w:gridCol w:w="75"/>
      </w:tblGrid>
      <w:tr>
        <w:trPr/>
        <w:tc>
          <w:tcPr>
            <w:tcW w:w="20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b/>
                <w:sz w:val="20"/>
              </w:rPr>
            </w:pPr>
            <w:r>
              <w:rPr>
                <w:b/>
                <w:sz w:val="20"/>
              </w:rPr>
              <w:t>EDESA BIOTECH INC.</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20"/>
              </w:rPr>
            </w:pPr>
            <w:r>
              <w:rPr>
                <w:sz w:val="20"/>
              </w:rPr>
              <w:t>By:</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w:t>
      </w:r>
      <w:r>
        <w:rPr>
          <w:i/>
          <w:sz w:val="20"/>
        </w:rPr>
        <w:t>Signature Page to Pre-Funded Warrant</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SCHEDULE 1</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OF EXERCISE NOTICE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[To be executed by the Holder to purchase Common Shares under the Warrant]</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Ladies and Gentlemen: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(1) The undersigned is the Holder of Warrant No. (the “Warrant”) issued by Edesa Biotech Inc., a British Columbia corporation (the “Company”). Capitalized terms used herein and not otherwise defined herein have the respective meanings set forth in the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(2) The undersigned hereby exercises its right to purchase </w:t>
      </w:r>
      <w:r>
        <w:rPr>
          <w:sz w:val="20"/>
          <w:u w:val="single"/>
        </w:rPr>
        <w:t>    </w:t>
      </w:r>
      <w:r>
        <w:rPr>
          <w:sz w:val="20"/>
        </w:rPr>
        <w:t xml:space="preserve"> Warrant Shares pursuant to the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(3) The Holder intends that payment of the Exercise Price shall be made as (check one):</w:t>
      </w:r>
    </w:p>
    <w:p>
      <w:pPr>
        <w:pStyle w:val="TextBody"/>
        <w:bidi w:val="0"/>
        <w:spacing w:before="0" w:after="0"/>
        <w:ind w:left="0" w:right="0" w:hanging="0"/>
        <w:jc w:val="left"/>
        <w:rPr/>
      </w:pPr>
      <w:r>
        <w:rPr/>
        <w:t> </w:t>
      </w:r>
    </w:p>
    <w:tbl>
      <w:tblPr>
        <w:tblW w:w="1525" w:type="dxa"/>
        <w:jc w:val="left"/>
        <w:tblInd w:w="0" w:type="dxa"/>
        <w:tblLayout w:type="fixed"/>
        <w:tblCellMar>
          <w:top w:w="0" w:type="dxa"/>
          <w:left w:w="0" w:type="dxa"/>
          <w:bottom w:w="0" w:type="dxa"/>
          <w:right w:w="0" w:type="dxa"/>
        </w:tblCellMar>
      </w:tblPr>
      <w:tblGrid>
        <w:gridCol w:w="75"/>
        <w:gridCol w:w="230"/>
        <w:gridCol w:w="1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left"/>
              <w:rPr>
                <w:sz w:val="20"/>
              </w:rPr>
            </w:pPr>
            <w:r>
              <w:rPr>
                <w:sz w:val="20"/>
              </w:rPr>
              <w:t xml:space="preserve">Cash Exercise </w:t>
            </w:r>
          </w:p>
        </w:tc>
      </w:tr>
    </w:tbl>
    <w:p>
      <w:pPr>
        <w:pStyle w:val="TextBody"/>
        <w:bidi w:val="0"/>
        <w:spacing w:before="0" w:after="0"/>
        <w:ind w:left="0" w:right="0" w:hanging="0"/>
        <w:jc w:val="left"/>
        <w:rPr/>
      </w:pPr>
      <w:r>
        <w:rPr/>
        <w:t> </w:t>
      </w:r>
    </w:p>
    <w:tbl>
      <w:tblPr>
        <w:tblW w:w="4645" w:type="dxa"/>
        <w:jc w:val="left"/>
        <w:tblInd w:w="0" w:type="dxa"/>
        <w:tblLayout w:type="fixed"/>
        <w:tblCellMar>
          <w:top w:w="0" w:type="dxa"/>
          <w:left w:w="0" w:type="dxa"/>
          <w:bottom w:w="0" w:type="dxa"/>
          <w:right w:w="0" w:type="dxa"/>
        </w:tblCellMar>
      </w:tblPr>
      <w:tblGrid>
        <w:gridCol w:w="75"/>
        <w:gridCol w:w="230"/>
        <w:gridCol w:w="4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left"/>
              <w:rPr/>
            </w:pPr>
            <w:r>
              <w:rPr/>
              <w:t>“</w:t>
            </w:r>
            <w:r>
              <w:rPr>
                <w:sz w:val="20"/>
              </w:rPr>
              <w:t xml:space="preserve">Cashless Exercise” under Section 10 of the Warrant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(4) If the Holder has elected a Cash Exercise, the Holder shall pay the sum of $</w:t>
      </w:r>
      <w:r>
        <w:rPr>
          <w:sz w:val="20"/>
          <w:u w:val="single"/>
        </w:rPr>
        <w:t>    </w:t>
      </w:r>
      <w:r>
        <w:rPr>
          <w:sz w:val="20"/>
        </w:rPr>
        <w:t xml:space="preserve"> in immediately available funds to the Company in accordance with the terms of the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(5) Pursuant to this Exercise Notice, the Company shall deliver to the Holder Warrant Shares determined in accordance with the terms of the Warrant. The Warrant Shares shall be delivered to the following DWAC Account Number: </w:t>
      </w:r>
      <w:r>
        <w:rPr>
          <w:sz w:val="20"/>
          <w:u w:val="single"/>
        </w:rPr>
        <w:t>    </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(6) By its delivery of this Exercise Notice, the undersigned represents and warrants to the Company that in giving effect to the exercise evidenced hereby the Holder will not beneficially own in excess of the number of Common Shares (as determined in accordance with Section 13(d) of the Securities Exchange Act of 1934, as amended) permitted to be owned under Section 11(a) of the Warrant to which this notice relates.</w:t>
      </w:r>
    </w:p>
    <w:p>
      <w:pPr>
        <w:pStyle w:val="TextBody"/>
        <w:bidi w:val="0"/>
        <w:spacing w:before="0" w:after="0"/>
        <w:ind w:left="0" w:right="0" w:hanging="0"/>
        <w:jc w:val="left"/>
        <w:rPr/>
      </w:pPr>
      <w:r>
        <w:rPr/>
        <w:t> </w:t>
      </w:r>
    </w:p>
    <w:tbl>
      <w:tblPr>
        <w:tblW w:w="2365" w:type="dxa"/>
        <w:jc w:val="left"/>
        <w:tblInd w:w="0" w:type="dxa"/>
        <w:tblLayout w:type="fixed"/>
        <w:tblCellMar>
          <w:top w:w="0" w:type="dxa"/>
          <w:left w:w="0" w:type="dxa"/>
          <w:bottom w:w="0" w:type="dxa"/>
          <w:right w:w="0" w:type="dxa"/>
        </w:tblCellMar>
      </w:tblPr>
      <w:tblGrid>
        <w:gridCol w:w="1370"/>
        <w:gridCol w:w="995"/>
      </w:tblGrid>
      <w:tr>
        <w:trPr/>
        <w:tc>
          <w:tcPr>
            <w:tcW w:w="13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Dated:</w:t>
            </w:r>
          </w:p>
        </w:tc>
        <w:tc>
          <w:tcPr>
            <w:tcW w:w="9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Name of Holder:</w:t>
            </w:r>
          </w:p>
        </w:tc>
        <w:tc>
          <w:tcPr>
            <w:tcW w:w="9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By:</w:t>
            </w:r>
          </w:p>
        </w:tc>
        <w:tc>
          <w:tcPr>
            <w:tcW w:w="9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Name:</w:t>
            </w:r>
          </w:p>
        </w:tc>
        <w:tc>
          <w:tcPr>
            <w:tcW w:w="9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Title:</w:t>
            </w:r>
          </w:p>
        </w:tc>
        <w:tc>
          <w:tcPr>
            <w:tcW w:w="9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(Signature must conform in all respects to name of Holder as specified on the face of the Warrant)</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jc w:val="right"/>
        <w:rPr>
          <w:b/>
        </w:rPr>
      </w:pPr>
      <w:bookmarkStart w:id="28" w:name="exh_51.htm"/>
      <w:bookmarkStart w:id="29" w:name="ksexh_51"/>
      <w:bookmarkEnd w:id="28"/>
      <w:bookmarkEnd w:id="29"/>
      <w:r>
        <w:rPr>
          <w:b/>
        </w:rPr>
        <w:t>Exhibit 5.1</w:t>
      </w:r>
      <w:r>
        <w:br w:type="page"/>
      </w:r>
    </w:p>
    <w:p>
      <w:pPr>
        <w:pStyle w:val="TextBody"/>
        <w:bidi w:val="0"/>
        <w:spacing w:before="0" w:after="283"/>
        <w:jc w:val="left"/>
        <w:rPr/>
      </w:pPr>
      <w:r>
        <w:rPr/>
        <w:t> </w:t>
      </w:r>
    </w:p>
    <w:p>
      <w:pPr>
        <w:pStyle w:val="TextBody"/>
        <w:bidi w:val="0"/>
        <w:jc w:val="center"/>
        <w:rPr/>
      </w:pPr>
      <w:r>
        <w:rPr/>
        <w:drawing>
          <wp:inline distT="0" distB="0" distL="0" distR="0">
            <wp:extent cx="1143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457200"/>
                    </a:xfrm>
                    <a:prstGeom prst="rect">
                      <a:avLst/>
                    </a:prstGeom>
                  </pic:spPr>
                </pic:pic>
              </a:graphicData>
            </a:graphic>
          </wp:inline>
        </w:drawing>
      </w:r>
    </w:p>
    <w:p>
      <w:pPr>
        <w:pStyle w:val="TextBody"/>
        <w:bidi w:val="0"/>
        <w:jc w:val="center"/>
        <w:rPr/>
      </w:pPr>
      <w:r>
        <w:rPr/>
        <w:drawing>
          <wp:inline distT="0" distB="0" distL="0" distR="0">
            <wp:extent cx="7772400" cy="1371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1371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jc w:val="left"/>
        <w:rPr>
          <w:sz w:val="20"/>
        </w:rPr>
      </w:pPr>
      <w:r>
        <w:rPr>
          <w:sz w:val="20"/>
        </w:rPr>
        <w:t>August 20,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Edesa Biotech, Inc.</w:t>
        <w:br/>
        <w:t>100 Spy Court</w:t>
      </w:r>
    </w:p>
    <w:p>
      <w:pPr>
        <w:pStyle w:val="TextBody"/>
        <w:bidi w:val="0"/>
        <w:spacing w:before="0" w:after="0"/>
        <w:ind w:left="0" w:right="0" w:hanging="0"/>
        <w:jc w:val="left"/>
        <w:rPr>
          <w:sz w:val="20"/>
        </w:rPr>
      </w:pPr>
      <w:r>
        <w:rPr>
          <w:sz w:val="20"/>
        </w:rPr>
        <w:t>Markham, ON L3R 5H6</w:t>
      </w:r>
    </w:p>
    <w:p>
      <w:pPr>
        <w:pStyle w:val="TextBody"/>
        <w:bidi w:val="0"/>
        <w:spacing w:before="0" w:after="0"/>
        <w:ind w:left="0" w:right="0" w:hanging="0"/>
        <w:jc w:val="left"/>
        <w:rPr>
          <w:sz w:val="20"/>
        </w:rPr>
      </w:pPr>
      <w:r>
        <w:rPr>
          <w:sz w:val="20"/>
        </w:rPr>
        <w:t>Canada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Dear Sirs/Mesdames: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4"/>
        <w:gridCol w:w="648"/>
        <w:gridCol w:w="9493"/>
      </w:tblGrid>
      <w:tr>
        <w:trPr/>
        <w:tc>
          <w:tcPr>
            <w:tcW w:w="6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b/>
                <w:color w:val="000000"/>
              </w:rPr>
            </w:pPr>
            <w:r>
              <w:rPr>
                <w:b/>
                <w:color w:val="000000"/>
              </w:rPr>
              <w:t>Re:</w:t>
            </w:r>
          </w:p>
        </w:tc>
        <w:tc>
          <w:tcPr>
            <w:tcW w:w="9493" w:type="dxa"/>
            <w:tcBorders/>
            <w:vAlign w:val="center"/>
          </w:tcPr>
          <w:p>
            <w:pPr>
              <w:pStyle w:val="TableContents"/>
              <w:bidi w:val="0"/>
              <w:spacing w:before="0" w:after="283"/>
              <w:jc w:val="left"/>
              <w:rPr>
                <w:b/>
              </w:rPr>
            </w:pPr>
            <w:r>
              <w:rPr>
                <w:b/>
              </w:rPr>
              <w:t xml:space="preserve">Edesa Biotech, Inc. </w:t>
            </w:r>
            <w:r>
              <w:rPr>
                <w:b/>
                <w:color w:val="000000"/>
              </w:rPr>
              <w:t xml:space="preserve">– Registered Offering of Securities </w:t>
            </w:r>
          </w:p>
        </w:tc>
      </w:tr>
    </w:tbl>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We have acted as Canadian legal counsel to Edesa Biotech, Inc., a British Columbia corporation (the “</w:t>
      </w:r>
      <w:r>
        <w:rPr>
          <w:b/>
          <w:sz w:val="20"/>
        </w:rPr>
        <w:t>Company</w:t>
      </w:r>
      <w:r>
        <w:rPr>
          <w:sz w:val="20"/>
        </w:rPr>
        <w:t>”), in connection with the sale (the “</w:t>
      </w:r>
      <w:r>
        <w:rPr>
          <w:b/>
          <w:sz w:val="20"/>
        </w:rPr>
        <w:t>Offering</w:t>
      </w:r>
      <w:r>
        <w:rPr>
          <w:sz w:val="20"/>
        </w:rPr>
        <w:t>”) by the Company of (i) 3,870,500 common shares in the capital of the Company (the “</w:t>
      </w:r>
      <w:r>
        <w:rPr>
          <w:b/>
          <w:sz w:val="20"/>
        </w:rPr>
        <w:t>Offered Shares</w:t>
      </w:r>
      <w:r>
        <w:rPr>
          <w:sz w:val="20"/>
        </w:rPr>
        <w:t>”), (ii) 675,000 pre-funded warrants (the “</w:t>
      </w:r>
      <w:r>
        <w:rPr>
          <w:b/>
          <w:sz w:val="20"/>
        </w:rPr>
        <w:t>Pre-Funded Warrants</w:t>
      </w:r>
      <w:r>
        <w:rPr>
          <w:sz w:val="20"/>
        </w:rPr>
        <w:t>”) to purchase up to 675,000 common shares in the capital of the Company, and (iii) warrants to purchase up to 4,545,500 common shares in the capital of the Company (the “</w:t>
      </w:r>
      <w:r>
        <w:rPr>
          <w:b/>
          <w:sz w:val="20"/>
        </w:rPr>
        <w:t>Common Warrants</w:t>
      </w:r>
      <w:r>
        <w:rPr>
          <w:sz w:val="20"/>
        </w:rPr>
        <w:t>”, and together with the Offered Shares and the Pre-Funded Warrants, the “</w:t>
      </w:r>
      <w:r>
        <w:rPr>
          <w:b/>
          <w:sz w:val="20"/>
        </w:rPr>
        <w:t>Securities</w:t>
      </w:r>
      <w:r>
        <w:rPr>
          <w:sz w:val="20"/>
        </w:rPr>
        <w:t>”) to be sold under a prospectus supplement filed by the Company with the United States Securities and Exchange Commission (“</w:t>
      </w:r>
      <w:r>
        <w:rPr>
          <w:b/>
          <w:sz w:val="20"/>
        </w:rPr>
        <w:t>SEC</w:t>
      </w:r>
      <w:r>
        <w:rPr>
          <w:sz w:val="20"/>
        </w:rPr>
        <w:t>”) on August 20, 2026 (the “</w:t>
      </w:r>
      <w:r>
        <w:rPr>
          <w:b/>
          <w:sz w:val="20"/>
        </w:rPr>
        <w:t>Prospectus Supplement</w:t>
      </w:r>
      <w:r>
        <w:rPr>
          <w:sz w:val="20"/>
        </w:rPr>
        <w:t>”) pursuant to Rule 424(b) of the Securities Act of 1933, as amended (the “</w:t>
      </w:r>
      <w:r>
        <w:rPr>
          <w:b/>
          <w:sz w:val="20"/>
        </w:rPr>
        <w:t>Act</w:t>
      </w:r>
      <w:r>
        <w:rPr>
          <w:sz w:val="20"/>
        </w:rPr>
        <w:t>”), supplementing the Company’s existing shelf registration statement on Form S-3 (File No. 333-288966) filed by the Company with the SEC, which was declared effective by the SEC on September 9, 2025 (the “</w:t>
      </w:r>
      <w:r>
        <w:rPr>
          <w:b/>
          <w:sz w:val="20"/>
        </w:rPr>
        <w:t>Registration Statement</w:t>
      </w:r>
      <w:r>
        <w:rPr>
          <w:sz w:val="20"/>
        </w:rPr>
        <w:t>”) and the prospectus contained therein (the “</w:t>
      </w:r>
      <w:r>
        <w:rPr>
          <w:b/>
          <w:sz w:val="20"/>
        </w:rPr>
        <w:t>Base Prospectus</w:t>
      </w:r>
      <w:r>
        <w:rPr>
          <w:sz w:val="20"/>
        </w:rPr>
        <w:t>”, and together with the Prospectus Supplement, the “</w:t>
      </w:r>
      <w:r>
        <w:rPr>
          <w:b/>
          <w:sz w:val="20"/>
        </w:rPr>
        <w:t>Prospectus</w:t>
      </w:r>
      <w:r>
        <w:rPr>
          <w:sz w:val="20"/>
        </w:rPr>
        <w:t>”). The common shares underlying the Pre-Funded Warrants and the Common Share Warrants are herein referred to as “</w:t>
      </w:r>
      <w:r>
        <w:rPr>
          <w:b/>
          <w:sz w:val="20"/>
        </w:rPr>
        <w:t>Warrant Shares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The Offering is to be made pursuant to the terms of an underwriting agreement (the “</w:t>
      </w:r>
      <w:r>
        <w:rPr>
          <w:b/>
          <w:sz w:val="20"/>
        </w:rPr>
        <w:t>Underwriting Agreement</w:t>
      </w:r>
      <w:r>
        <w:rPr>
          <w:sz w:val="20"/>
        </w:rPr>
        <w:t>”) between the Company and Guggenheim Securities, LLC, as representative of several underwriters named therein.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We have reviewed, but not participated in the preparation of: (i) the Registration Statement; (ii) the Prospectus; and (iii) the Underwriting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We have examined originals or certified copies of such corporate records, documents, certificates and instruments as we have deemed relevant and necessary for the basis of our opinions hereinafter expressed. In such examination,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originals or such latter documents. As to various questions of fact material to such opinion that we have not independently established or verified, information with respect to which is in possession of the Company, we have relied upon certificates and other records and certificates of officers of the Company, including a certificate of an officer of the Company, dated the date hereof, certifying certain factual matters including, among other things: (i) the notice of articles and articles of the Company; (ii) the incumbency of certain officers of the Company; and (iii) resolutions passed by the directors of the Company approving, among other things, the execution, delivery and performance by the Company of its obligations under the Underwriting Agreement. In making our examination of executed documents or documents to be executed, we have assumed that the parties thereto, including the Company,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on all such parties.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jc w:val="center"/>
        <w:rPr/>
      </w:pPr>
      <w:r>
        <w:rPr/>
        <w:drawing>
          <wp:inline distT="0" distB="0" distL="0" distR="0">
            <wp:extent cx="11430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 cy="457200"/>
                    </a:xfrm>
                    <a:prstGeom prst="rect">
                      <a:avLst/>
                    </a:prstGeom>
                  </pic:spPr>
                </pic:pic>
              </a:graphicData>
            </a:graphic>
          </wp:inline>
        </w:drawing>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In rendering our opinions set forth herein, we have also assumed that (i) the Company has been duly organized and is validly existing and in good standing, and has the requisite legal status and legal capacity, under the laws of the Province of British Columbia; (ii) the Company has complied and will comply with the laws of all relevant jurisdictions in connection with the transactions contemplated by, and the performance of its obligations under, the Registration Statement and the Underwriting Agreement; (iii) the Registration Statement and any amendments thereto (including any post-effective amendments thereto) has become effective under the Act; (iv) the Underwriting Agreement will have been duly authorized and validly executed and delivered by any party thereto other than the Company, and will be filed with the SEC on a Current Report on Form 8-K or other applicable periodic report in the manner contemplated in the Registration Statement and the Prospectus Supplement; and (v) that the Securities will be issued and sold in compliance with applicable U.S. federal and state securities laws and in the manner stated in the Registration Statement, the Prospectus Supplement and the Underwriting Agreement. As to any facts material to our opinion, we have made no independent investigation of such facts and have relied, to the extent that we deem such reliance proper, upon certificates of public officials and officers or other representatives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Based solely upon and subject to the foregoing, and subject to the assumptions, limitations, exceptions and qualifications stated herein, we are of the opinion that:</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74"/>
        <w:gridCol w:w="227"/>
        <w:gridCol w:w="9904"/>
      </w:tblGrid>
      <w:tr>
        <w:trPr/>
        <w:tc>
          <w:tcPr>
            <w:tcW w:w="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w:t>
            </w:r>
          </w:p>
        </w:tc>
        <w:tc>
          <w:tcPr>
            <w:tcW w:w="9904" w:type="dxa"/>
            <w:tcBorders/>
            <w:vAlign w:val="center"/>
          </w:tcPr>
          <w:p>
            <w:pPr>
              <w:pStyle w:val="TableContents"/>
              <w:bidi w:val="0"/>
              <w:spacing w:before="0" w:after="283"/>
              <w:jc w:val="both"/>
              <w:rPr/>
            </w:pPr>
            <w:r>
              <w:rPr/>
              <w:t xml:space="preserve">with respect to any Offered Shares, when such Offered Shares have been issued and delivered against payment therefor in accordance with the terms of the Underwriting Agreement, with certificates representing such Offered Shares having been duly executed, countersigned, registered and delivered or, if uncertificated, valid book-entry notations therefor having been made in the central securities register of the Company, in accordance with the terms of the Underwriting Agreement, the Offered Shares will be validly issued, fully paid and non-assessable; </w:t>
            </w:r>
          </w:p>
        </w:tc>
      </w:tr>
      <w:tr>
        <w:trPr/>
        <w:tc>
          <w:tcPr>
            <w:tcW w:w="74"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04"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(ii)</w:t>
            </w:r>
          </w:p>
        </w:tc>
        <w:tc>
          <w:tcPr>
            <w:tcW w:w="9904" w:type="dxa"/>
            <w:tcBorders/>
            <w:vAlign w:val="center"/>
          </w:tcPr>
          <w:p>
            <w:pPr>
              <w:pStyle w:val="TableContents"/>
              <w:bidi w:val="0"/>
              <w:spacing w:before="0" w:after="283"/>
              <w:jc w:val="both"/>
              <w:rPr/>
            </w:pPr>
            <w:r>
              <w:rPr/>
              <w:t>the Company has taken all necessary corporate action to duly and validly authorize the issuance of the Pre-Funded Warrants and the Common Warrants, and when such Pre-Funded Warrants and Common Warrants have been issued and delivered against payment therefor in accordance with the terms of the Underwriting Agreement, the Pre-Funded Warrants and the Common Warrants will have been duly and validly created and issued by the Company;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(iii)</w:t>
            </w:r>
          </w:p>
        </w:tc>
        <w:tc>
          <w:tcPr>
            <w:tcW w:w="9885" w:type="dxa"/>
            <w:tcBorders/>
            <w:vAlign w:val="center"/>
          </w:tcPr>
          <w:p>
            <w:pPr>
              <w:pStyle w:val="TableContents"/>
              <w:bidi w:val="0"/>
              <w:spacing w:before="0" w:after="283"/>
              <w:jc w:val="both"/>
              <w:rPr/>
            </w:pPr>
            <w:r>
              <w:rPr/>
              <w:t>with respect to any Warrant Shares, when such Warrant Shares have been issued and delivered against payment of the exercise price therefor in accordance with the terms of the instrument representing the Pre-Funded Warrants or the Common Warrants, as applicable, with certificates representing such Warrant Shares having been duly executed, countersigned, registered and delivered or, if uncertificated, valid book-entry notations therefor having been made in the central securities register of the Company, in accordance with the terms of the instrument representing the Pre-Funded Warrant or the Common Warrants, as applicable, the Warrant Shares will be validly issued by the Company as fully paid and non-assessable common shares in the capital of the Company.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pPr>
      <w:r>
        <w:rPr/>
        <w:drawing>
          <wp:inline distT="0" distB="0" distL="0" distR="0">
            <wp:extent cx="114300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 cy="457200"/>
                    </a:xfrm>
                    <a:prstGeom prst="rect">
                      <a:avLst/>
                    </a:prstGeom>
                  </pic:spPr>
                </pic:pic>
              </a:graphicData>
            </a:graphic>
          </wp:inline>
        </w:drawing>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The matters expressed in this letter are subject to and qualified and limited by (i) the effects of bankruptcy, insolvency, fraudulent conveyance, reorganization, arrangement, moratorium or other similar laws now or hereafter in effect relating to or affecting creditors’ rights generally; (ii) the effects of general equitable principles, including, without limitation, concepts of materiality, reasonableness, good faith and fair dealing, and the possible unavailability of specific performance or injunctive relief, whether enforcement is considered in a proceeding in equity or law; (iii) the discretion of the court before which any proceeding for enforcement may be brought; and (iv) the unenforceability under certain circumstances under law or court decisions of provisions providing for the indemnification of or contribution to a party with respect to a liability where such indemnification or contribution is contrary to the public policy. We express no opinion as to the sufficiency of any consideration to be paid for any Offered Shares or actual receipt of such consideration.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We are qualified to practice law in the Province of British Columbia, and we do not purport to be experts on the law of any other jurisdiction other than the Province of British Columbia and the federal laws of Canada applicable therein. We do not express any opinion herein concerning any law other than the laws of the Province of British Columbia and the federal laws of Canada applicable therein. This opinion is expressed as of the date hereof unless otherwise expressly stated, and we disclaim any undertaking to advise you of any subsequent changes of the facts stated or assumed herein or any subsequent changes in applicable law.</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We hereby consent to the filing of this opinion as an exhibit to the Registration Statement and the use of our firm name where it appears in each of the Prospectus and the Prospectus Supplement under the caption “Legal Matters”. In giving this consent, we do not admit that we are included in the category of persons whose consent is required under Section 7 of the Act or the rules and regulations promulgated thereunder.</w:t>
      </w:r>
    </w:p>
    <w:p>
      <w:pPr>
        <w:pStyle w:val="TextBody"/>
        <w:bidi w:val="0"/>
        <w:spacing w:before="0" w:after="0"/>
        <w:ind w:left="0" w:right="0" w:firstLine="1440"/>
        <w:jc w:val="both"/>
        <w:rPr/>
      </w:pPr>
      <w:r>
        <w:rPr/>
        <w:t> </w:t>
      </w:r>
    </w:p>
    <w:p>
      <w:pPr>
        <w:pStyle w:val="TextBody"/>
        <w:bidi w:val="0"/>
        <w:spacing w:before="0" w:after="0"/>
        <w:ind w:left="0" w:right="0" w:hanging="0"/>
        <w:jc w:val="left"/>
        <w:rPr>
          <w:sz w:val="20"/>
        </w:rPr>
      </w:pPr>
      <w:r>
        <w:rPr>
          <w:sz w:val="20"/>
        </w:rPr>
        <w:t>Yours truly,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i/>
          <w:sz w:val="20"/>
        </w:rPr>
        <w:t>Fasken Martineau DuMoulin LLP”</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FASKEN MARTINEAU DuMOULIN LLP</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3</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right"/>
        <w:rPr>
          <w:b/>
          <w:sz w:val="20"/>
        </w:rPr>
      </w:pPr>
      <w:bookmarkStart w:id="30" w:name="exh_52.htm"/>
      <w:bookmarkStart w:id="31" w:name="ksexh_52"/>
      <w:bookmarkEnd w:id="30"/>
      <w:bookmarkEnd w:id="31"/>
      <w:r>
        <w:rPr>
          <w:b/>
          <w:sz w:val="20"/>
        </w:rPr>
        <w:t>Exhibit 5.2</w:t>
      </w:r>
      <w:r>
        <w:br w:type="page"/>
      </w:r>
    </w:p>
    <w:p>
      <w:pPr>
        <w:pStyle w:val="TextBody"/>
        <w:bidi w:val="0"/>
        <w:spacing w:before="0" w:after="0"/>
        <w:ind w:left="0" w:right="0" w:hanging="0"/>
        <w:jc w:val="right"/>
        <w:rPr/>
      </w:pPr>
      <w:r>
        <w:rPr/>
        <w:t> </w:t>
      </w:r>
    </w:p>
    <w:p>
      <w:pPr>
        <w:pStyle w:val="TextBody"/>
        <w:bidi w:val="0"/>
        <w:spacing w:before="0" w:after="0"/>
        <w:jc w:val="both"/>
        <w:rPr/>
      </w:pPr>
      <w:r>
        <w:rPr/>
        <w:drawing>
          <wp:inline distT="0" distB="0" distL="0" distR="0">
            <wp:extent cx="2381250" cy="723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0" cy="723900"/>
                    </a:xfrm>
                    <a:prstGeom prst="rect">
                      <a:avLst/>
                    </a:prstGeom>
                  </pic:spPr>
                </pic:pic>
              </a:graphicData>
            </a:graphic>
          </wp:inline>
        </w:drawing>
      </w:r>
    </w:p>
    <w:p>
      <w:pPr>
        <w:pStyle w:val="TextBody"/>
        <w:bidi w:val="0"/>
        <w:spacing w:before="0" w:after="0"/>
        <w:ind w:left="0" w:right="0" w:hanging="0"/>
        <w:jc w:val="right"/>
        <w:rPr/>
      </w:pPr>
      <w:r>
        <w:rPr/>
        <w:t> </w:t>
      </w:r>
    </w:p>
    <w:p>
      <w:pPr>
        <w:pStyle w:val="TextBody"/>
        <w:bidi w:val="0"/>
        <w:spacing w:before="0" w:after="0"/>
        <w:ind w:left="0" w:right="0" w:hanging="0"/>
        <w:jc w:val="right"/>
        <w:rPr>
          <w:sz w:val="20"/>
        </w:rPr>
      </w:pPr>
      <w:r>
        <w:rPr>
          <w:sz w:val="20"/>
        </w:rPr>
        <w:t>August 20, 2026</w:t>
      </w:r>
    </w:p>
    <w:p>
      <w:pPr>
        <w:pStyle w:val="TextBody"/>
        <w:bidi w:val="0"/>
        <w:spacing w:before="0" w:after="0"/>
        <w:ind w:left="0" w:right="0" w:hanging="0"/>
        <w:jc w:val="left"/>
        <w:rPr/>
      </w:pPr>
      <w:r>
        <w:rPr/>
        <w:t> </w:t>
      </w:r>
    </w:p>
    <w:p>
      <w:pPr>
        <w:pStyle w:val="TextBody"/>
        <w:bidi w:val="0"/>
        <w:spacing w:before="0" w:after="0"/>
        <w:ind w:left="360" w:right="0" w:hanging="360"/>
        <w:jc w:val="left"/>
        <w:rPr>
          <w:sz w:val="20"/>
        </w:rPr>
      </w:pPr>
      <w:r>
        <w:rPr>
          <w:sz w:val="20"/>
        </w:rPr>
        <w:t>Edesa Biotech, Inc.</w:t>
      </w:r>
    </w:p>
    <w:p>
      <w:pPr>
        <w:pStyle w:val="TextBody"/>
        <w:bidi w:val="0"/>
        <w:spacing w:before="0" w:after="0"/>
        <w:ind w:left="360" w:right="0" w:hanging="360"/>
        <w:jc w:val="both"/>
        <w:rPr>
          <w:sz w:val="20"/>
        </w:rPr>
      </w:pPr>
      <w:r>
        <w:rPr>
          <w:sz w:val="20"/>
        </w:rPr>
        <w:t>100 Spy Court,</w:t>
      </w:r>
    </w:p>
    <w:p>
      <w:pPr>
        <w:pStyle w:val="TextBody"/>
        <w:bidi w:val="0"/>
        <w:spacing w:before="0" w:after="0"/>
        <w:ind w:left="360" w:right="0" w:hanging="360"/>
        <w:jc w:val="both"/>
        <w:rPr>
          <w:sz w:val="20"/>
        </w:rPr>
      </w:pPr>
      <w:r>
        <w:rPr>
          <w:sz w:val="20"/>
        </w:rPr>
        <w:t>Markham, Ontario, Canada L3R 5H6</w:t>
      </w:r>
    </w:p>
    <w:p>
      <w:pPr>
        <w:pStyle w:val="TextBody"/>
        <w:bidi w:val="0"/>
        <w:spacing w:before="0" w:after="0"/>
        <w:ind w:left="360" w:right="0" w:hanging="360"/>
        <w:jc w:val="both"/>
        <w:rPr/>
      </w:pPr>
      <w:r>
        <w:rPr/>
        <w:t> </w:t>
      </w:r>
    </w:p>
    <w:p>
      <w:pPr>
        <w:pStyle w:val="TextBody"/>
        <w:bidi w:val="0"/>
        <w:spacing w:before="0" w:after="0"/>
        <w:ind w:left="360" w:right="0" w:hanging="360"/>
        <w:jc w:val="both"/>
        <w:rPr>
          <w:sz w:val="20"/>
        </w:rPr>
      </w:pPr>
      <w:r>
        <w:rPr>
          <w:sz w:val="20"/>
        </w:rPr>
        <w:t>Ladies and Gentlemen:</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We have acted as counsel to Edesa Biotech, Inc., a corporation organized under the laws of British Columbia, Canada (the “</w:t>
      </w:r>
      <w:r>
        <w:rPr>
          <w:b/>
          <w:sz w:val="20"/>
        </w:rPr>
        <w:t>Company</w:t>
      </w:r>
      <w:r>
        <w:rPr>
          <w:sz w:val="20"/>
        </w:rPr>
        <w:t>”), in connection with the preparation and filing of (i) the Registration Statement on Form S-3 (Registration No. 333-288966) (the “</w:t>
      </w:r>
      <w:r>
        <w:rPr>
          <w:b/>
          <w:sz w:val="20"/>
        </w:rPr>
        <w:t>Registration Statement</w:t>
      </w:r>
      <w:r>
        <w:rPr>
          <w:sz w:val="20"/>
        </w:rPr>
        <w:t>”), which was declared effective on September 9, 2025, with the Securities and Exchange Commission (the “</w:t>
      </w:r>
      <w:r>
        <w:rPr>
          <w:b/>
          <w:sz w:val="20"/>
        </w:rPr>
        <w:t>Commission</w:t>
      </w:r>
      <w:r>
        <w:rPr>
          <w:sz w:val="20"/>
        </w:rPr>
        <w:t>”) under the Securities Act of 1933, as amended (the “</w:t>
      </w:r>
      <w:r>
        <w:rPr>
          <w:b/>
          <w:sz w:val="20"/>
        </w:rPr>
        <w:t>Securities Act</w:t>
      </w:r>
      <w:r>
        <w:rPr>
          <w:sz w:val="20"/>
        </w:rPr>
        <w:t>”), and the related base prospectus contained in the Registration Statement dated September 9, 2025 (the “</w:t>
      </w:r>
      <w:r>
        <w:rPr>
          <w:b/>
          <w:sz w:val="20"/>
        </w:rPr>
        <w:t>Base Prospectus</w:t>
      </w:r>
      <w:r>
        <w:rPr>
          <w:sz w:val="20"/>
        </w:rPr>
        <w:t>”) and (ii) the prospectus supplement to the Registration Statement, dated August 19, 2026 (the “</w:t>
      </w:r>
      <w:r>
        <w:rPr>
          <w:b/>
          <w:sz w:val="20"/>
        </w:rPr>
        <w:t>Prospectus Supplement</w:t>
      </w:r>
      <w:r>
        <w:rPr>
          <w:sz w:val="20"/>
        </w:rPr>
        <w:t>”) relating to the issuance and sale by the Company of 4,552,325 of the Company’s common shares, without par value (the “</w:t>
      </w:r>
      <w:r>
        <w:rPr>
          <w:b/>
          <w:sz w:val="20"/>
        </w:rPr>
        <w:t>Common Shares</w:t>
      </w:r>
      <w:r>
        <w:rPr>
          <w:sz w:val="20"/>
        </w:rPr>
        <w:t>” and such shares, the “</w:t>
      </w:r>
      <w:r>
        <w:rPr>
          <w:b/>
          <w:sz w:val="20"/>
        </w:rPr>
        <w:t>Shares</w:t>
      </w:r>
      <w:r>
        <w:rPr>
          <w:sz w:val="20"/>
        </w:rPr>
        <w:t>”), Pre-Funded Warrants (the “</w:t>
      </w:r>
      <w:r>
        <w:rPr>
          <w:b/>
          <w:sz w:val="20"/>
        </w:rPr>
        <w:t>Pre-Funded Warrants</w:t>
      </w:r>
      <w:r>
        <w:rPr>
          <w:sz w:val="20"/>
        </w:rPr>
        <w:t>”) to purchase up to an aggregate of 675,000 Common Shares (the “</w:t>
      </w:r>
      <w:r>
        <w:rPr>
          <w:b/>
          <w:sz w:val="20"/>
        </w:rPr>
        <w:t>Pre-Funded Warrant Shares</w:t>
      </w:r>
      <w:r>
        <w:rPr>
          <w:sz w:val="20"/>
        </w:rPr>
        <w:t>”) and Common Share Warrants (the “</w:t>
      </w:r>
      <w:r>
        <w:rPr>
          <w:b/>
          <w:sz w:val="20"/>
        </w:rPr>
        <w:t>Common Warrants</w:t>
      </w:r>
      <w:r>
        <w:rPr>
          <w:sz w:val="20"/>
        </w:rPr>
        <w:t>” and together with the Pre-Funded Warrants, the “</w:t>
      </w:r>
      <w:r>
        <w:rPr>
          <w:b/>
          <w:sz w:val="20"/>
        </w:rPr>
        <w:t>Warrants</w:t>
      </w:r>
      <w:r>
        <w:rPr>
          <w:sz w:val="20"/>
        </w:rPr>
        <w:t>”) to purchase up to an aggregate of 5,227,325 Common Shares (the “</w:t>
      </w:r>
      <w:r>
        <w:rPr>
          <w:b/>
          <w:sz w:val="20"/>
        </w:rPr>
        <w:t>Common Warrant Shares</w:t>
      </w:r>
      <w:r>
        <w:rPr>
          <w:sz w:val="20"/>
        </w:rPr>
        <w:t>” and together with the Pre-Funded Warrant Shares, the “</w:t>
      </w:r>
      <w:r>
        <w:rPr>
          <w:b/>
          <w:sz w:val="20"/>
        </w:rPr>
        <w:t>Warrant Shares</w:t>
      </w:r>
      <w:r>
        <w:rPr>
          <w:sz w:val="20"/>
        </w:rPr>
        <w:t>”) (including 681,825 Common Shares and Common Warrants to purchase up to 681,825 Common Shares issuable by the Company upon exercise of an option to purchase additional securities granted by the Company to the Underwriters (as defined below)).</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Shares and Warrants are to be sold pursuant to an Underwriting Agreement, dated August 19, 2026 (the “</w:t>
      </w:r>
      <w:r>
        <w:rPr>
          <w:b/>
          <w:sz w:val="20"/>
        </w:rPr>
        <w:t>Underwriting Agreement</w:t>
      </w:r>
      <w:r>
        <w:rPr>
          <w:sz w:val="20"/>
        </w:rPr>
        <w:t>”), between the Company and Guggenheim Securities, LLC, as representative of the several underwriters named in Schedule 1 therein (the “</w:t>
      </w:r>
      <w:r>
        <w:rPr>
          <w:b/>
          <w:sz w:val="20"/>
        </w:rPr>
        <w:t>Underwriters</w:t>
      </w:r>
      <w:r>
        <w:rPr>
          <w:sz w:val="20"/>
        </w:rPr>
        <w:t>”). We have been requested by the Company to render this opinion in connection with the filing of the Current Report on Form 8-K with respect to the sale and issuance by the Company of the Warrants (the “</w:t>
      </w:r>
      <w:r>
        <w:rPr>
          <w:b/>
          <w:sz w:val="20"/>
        </w:rPr>
        <w:t>Form 8-K</w:t>
      </w:r>
      <w:r>
        <w:rPr>
          <w:sz w:val="20"/>
        </w:rPr>
        <w:t>”).</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As counsel to the Company in connection with the issuance and sale of the above-referenced Shares, Warrants and Warrant Shares, we have reviewed the Registration Statement, Base Prospectus, Prospectus Supplement and the respective exhibits thereto, the Underwriting Agreement, the Form of Pre-Funded Warrant and the Form of Common Warrant. We have also reviewed such corporate documents and records of the Company, such certificates of public officials and officers of the Company and such other matters as we have deemed necessary or appropriate for purposes of this opinion. 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as set forth in a separate opinion delivered to the Company on the date hereof by Fasken Martineau DuMoulin LLP, Canadian counsel for the Company, the Shares, the Warrants and the Warrant Shares have been duly authorized; and (v)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any facts material to the opinions expressed herein that were not independently established or verified, we have relied upon oral or written statements and representations of officers and other representatives of the Company.</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Based on the foregoing, and subject to the assumptions, limitations and qualifications set forth herein, we are of the opinion that when the Warrants are duly executed and delivered by the Company and paid for by the Underwriters pursuant to the Underwriting Agreement, such Warrants will constitute the legal, valid and binding obligation of the Company, enforceable against the Company in accordance with their terms, subject to bankruptcy, insolvency or other similar laws affecting creditors’ rights and to general equitable principles.</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The opinion set forth above is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 may be brought; and (iii) the unenforceability under certain circumstances under law or court decisions of provisions providing for the indemnification of, or contribution to, a party with respect to liability where such indemnification or contribution is contrary to public policy. We express no opinion concerning the enforceability of any waiver of rights or defenses with respect to stay, extension or usury laws.</w:t>
      </w:r>
    </w:p>
    <w:p>
      <w:pPr>
        <w:pStyle w:val="TextBody"/>
        <w:bidi w:val="0"/>
        <w:spacing w:before="0" w:after="0"/>
        <w:ind w:left="0" w:right="0" w:hanging="0"/>
        <w:jc w:val="left"/>
        <w:rPr/>
      </w:pPr>
      <w:r>
        <w:rPr/>
        <w:t> </w:t>
      </w:r>
    </w:p>
    <w:p>
      <w:pPr>
        <w:pStyle w:val="TextBody"/>
        <w:bidi w:val="0"/>
        <w:spacing w:before="0" w:after="0"/>
        <w:jc w:val="center"/>
        <w:rPr>
          <w:bdr w:val="single" w:sz="24" w:space="1" w:color="000000"/>
        </w:rPr>
      </w:pPr>
      <w:r>
        <w:rPr>
          <w:bdr w:val="single" w:sz="24" w:space="1" w:color="000000"/>
        </w:rPr>
        <w:drawing>
          <wp:inline distT="0" distB="0" distL="0" distR="0">
            <wp:extent cx="5715000"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5000" cy="4095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Our opinion is limited to the laws of New York. We express no opinion as to the effect of the law of any other jurisdiction. Our opinion is rendered as of the date hereof, and we assume no obligation to advise you of changes in law or fact (or the effect thereof on the opinions expressed herein) that hereafter may come to our attention. We advise you that matters of Canadian law are covered in the opinion of Fasken Martineau DuMoulin LLP, Canadian counsel for the Company, in Exhibit 5.1 to the Form 8-K.</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We hereby consent to the inclusion of this opinion as Exhibit 5.2 to the Form 8-K and to the references to our firm in the Prospectus Supplement under the caption “Legal Matters.”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Very truly yours,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/s/ Lowenstein Sandler LLP</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Lowenstein Sandler LLP</w:t>
      </w:r>
    </w:p>
    <w:p>
      <w:pPr>
        <w:pStyle w:val="TextBody"/>
        <w:bidi w:val="0"/>
        <w:spacing w:before="0" w:after="0"/>
        <w:ind w:left="360" w:right="0" w:hanging="0"/>
        <w:jc w:val="right"/>
        <w:rPr/>
      </w:pPr>
      <w:r>
        <w:rPr/>
        <w:t> </w:t>
      </w:r>
    </w:p>
    <w:p>
      <w:pPr>
        <w:pStyle w:val="TextBody"/>
        <w:bidi w:val="0"/>
        <w:spacing w:before="0" w:after="0"/>
        <w:ind w:left="360" w:right="0" w:hanging="0"/>
        <w:jc w:val="righ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2381250" cy="723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0" cy="723900"/>
                    </a:xfrm>
                    <a:prstGeom prst="rect">
                      <a:avLst/>
                    </a:prstGeom>
                  </pic:spPr>
                </pic:pic>
              </a:graphicData>
            </a:graphic>
          </wp:inline>
        </w:drawing>
      </w:r>
    </w:p>
    <w:p>
      <w:pPr>
        <w:pStyle w:val="TextBody"/>
        <w:bidi w:val="0"/>
        <w:jc w:val="center"/>
        <w:rPr/>
      </w:pPr>
      <w:r>
        <w:rPr/>
        <w:t>-2-</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jc w:val="right"/>
        <w:rPr/>
      </w:pPr>
      <w:bookmarkStart w:id="32" w:name="exh_991.htm"/>
      <w:bookmarkStart w:id="33" w:name="ksexh_991"/>
      <w:bookmarkEnd w:id="32"/>
      <w:bookmarkEnd w:id="33"/>
      <w:r>
        <w:rPr>
          <w:rStyle w:val="StrongEmphasis"/>
        </w:rPr>
        <w:t>EXHIBIT 99.1</w:t>
      </w:r>
      <w:r>
        <w:br w:type="page"/>
      </w:r>
    </w:p>
    <w:p>
      <w:pPr>
        <w:pStyle w:val="TextBody"/>
        <w:bidi w:val="0"/>
        <w:jc w:val="center"/>
        <w:rPr/>
      </w:pPr>
      <w:r>
        <w:rPr>
          <w:rStyle w:val="StrongEmphasis"/>
          <w:sz w:val="28"/>
        </w:rPr>
        <w:t>Edesa Biotech Announces Proposed Public Offering</w:t>
      </w:r>
    </w:p>
    <w:p>
      <w:pPr>
        <w:pStyle w:val="TextBody"/>
        <w:bidi w:val="0"/>
        <w:jc w:val="both"/>
        <w:rPr/>
      </w:pPr>
      <w:r>
        <w:rPr/>
        <w:t>TORONTO, Aug. 19, 2026 (GLOBE NEWSWIRE) -- Edesa Biotech, Inc. (Nasdaq: EDSA) (the “Company” or “Edesa”), a clinical-stage biopharmaceutical company focused on developing host-directed therapeutics for immuno-inflammatory diseases, today announced that it has commenced an underwritten public offering of its common shares (or pre-funded warrants to purchase common shares in lieu thereof) and accompanying common share warrants to purchase common shares. In addition, Edesa expects to grant the underwriters a 30-day option to purchase additional common shares and accompanying common share warrants in an amount up to 15% of the total number of common shares (or pre-funded warrants in lieu thereof) and accompanying common share warrants to be offered in the public offering under the same terms and conditions. All common shares, pre-funded warrants and accompanying common share warrants are being offered by Edesa. The proposed offering is subject to market and other conditions, and there can be no assurance as to whether or when the offering may be completed, or the actual size or terms of the proposed offering.</w:t>
      </w:r>
    </w:p>
    <w:p>
      <w:pPr>
        <w:pStyle w:val="TextBody"/>
        <w:bidi w:val="0"/>
        <w:jc w:val="both"/>
        <w:rPr/>
      </w:pPr>
      <w:r>
        <w:rPr/>
        <w:t>Guggenheim Securities is acting as the sole book-running manager for the proposed offering.</w:t>
      </w:r>
    </w:p>
    <w:p>
      <w:pPr>
        <w:pStyle w:val="TextBody"/>
        <w:bidi w:val="0"/>
        <w:jc w:val="both"/>
        <w:rPr/>
      </w:pPr>
      <w:r>
        <w:rPr/>
        <w:t>Edesa intends to use the net proceeds from the proposed offering for general corporate purposes, which may include working capital, capital expenditures and research and development and manufacturing expenses.</w:t>
      </w:r>
    </w:p>
    <w:p>
      <w:pPr>
        <w:pStyle w:val="TextBody"/>
        <w:bidi w:val="0"/>
        <w:jc w:val="both"/>
        <w:rPr/>
      </w:pPr>
      <w:r>
        <w:rPr/>
        <w:t>The proposed offering is being made pursuant to a shelf registration statement on Form S-3 (File No. 333-288966), including a base prospectus, that was declared effective by the Securities and Exchange Commission (“SEC”) on September 9, 2025. A preliminary prospectus supplement and accompanying prospectus relating to and describing the terms of the proposed offering will be filed with the SEC and will be available for free on the SEC’s website, located at www.sec.gov. Copies of the preliminary prospectus supplement and the accompanying prospectus relating to the proposed offering may be obtained, when available, from Guggenheim Securities, LLC, Attention: Equity Syndicate Department, 330 Madison Avenue, 8th Floor, New York, NY 10017, or by telephone at (212) 518-9544, or by email at GSEquityProspectusDelivery@guggenheimpartners.com. The final terms of the public offering will be disclosed in a final prospectus supplement filed with the SEC.</w:t>
      </w:r>
    </w:p>
    <w:p>
      <w:pPr>
        <w:pStyle w:val="TextBody"/>
        <w:bidi w:val="0"/>
        <w:jc w:val="both"/>
        <w:rPr/>
      </w:pPr>
      <w:r>
        <w:rPr/>
        <w:t>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pStyle w:val="TextBody"/>
        <w:bidi w:val="0"/>
        <w:jc w:val="both"/>
        <w:rPr/>
      </w:pPr>
      <w:r>
        <w:rPr>
          <w:rStyle w:val="StrongEmphasis"/>
        </w:rPr>
        <w:t>About Edesa Biotech, Inc.</w:t>
      </w:r>
    </w:p>
    <w:p>
      <w:pPr>
        <w:pStyle w:val="TextBody"/>
        <w:bidi w:val="0"/>
        <w:jc w:val="both"/>
        <w:rPr/>
      </w:pPr>
      <w:r>
        <w:rPr/>
        <w:t>Edesa Biotech, Inc. (Nasdaq: EDSA) is a clinical-stage biopharmaceutical company developing innovative ways to treat inflammatory and immune-related diseases. Its clinical pipeline is focused on two therapeutic areas: Medical Dermatology and Respiratory. In Medical Dermatology, Edesa is developing EB06, an anti-CXCL10 monoclonal antibody candidate, as a therapy for vitiligo, a common autoimmune disorder that causes skin to lose its color in patches. Its medical dermatology assets also include EB01 (1.0% daniluromer cream), a Phase 3-ready asset developed for use as a potential therapy for moderate-to-severe chronic Allergic Contact Dermatitis (ACD), a common occupational skin condition. The Company’s most advanced Respiratory drug candidate is paridiprubart, which is being developed as a potential treatment for Acute Respiratory Distress Syndrome, a life-threatening form of respiratory failure. The paridiprubart program has been the recipient of two funding awards from the Government of Canada to support the further development of this asset, and is currently being evaluated in a U.S. government-funded platform study. Edesa is also pursuing additional uses for paridiprubart.</w:t>
      </w:r>
    </w:p>
    <w:p>
      <w:pPr>
        <w:pStyle w:val="TextBody"/>
        <w:bidi w:val="0"/>
        <w:jc w:val="both"/>
        <w:rPr/>
      </w:pPr>
      <w:r>
        <w:rPr>
          <w:rStyle w:val="StrongEmphasis"/>
        </w:rPr>
        <w:t>Forward-Looking Statements</w:t>
      </w:r>
    </w:p>
    <w:p>
      <w:pPr>
        <w:pStyle w:val="TextBody"/>
        <w:bidi w:val="0"/>
        <w:jc w:val="both"/>
        <w:rPr/>
      </w:pPr>
      <w:r>
        <w:rPr>
          <w:rStyle w:val="Emphasis"/>
        </w:rPr>
        <w:t>This press release may contain forward-looking statements within the meaning of Section 27A of the Securities Act of 1933, as amended, and Section 21E of the Securities Exchange Act of 1934, as amended. Forward-looking statements may be identified by the use of words such as “anticipate,” “believe,” “plan,” “estimate,” “expect,” “intend,” “may,” “will,” “would,” “could,” “should,” “might,” “potential,” or “continue” and variations or similar expressions, including statements regarding the completion, timing and size of the proposed offering, Edesa’s intent to grant the underwriters a 30-day option to purchase additional shares and common share warrants and the anticipated use of proceeds from the proposed offering. Readers should not unduly rely on these forward-looking statements, which are not a guarantee of future performance. There can be no assurance that forward-looking statements will prove to be accurate, as all such forward-looking statements involve known and unknown risks, uncertainties and other factors which may cause actual results or future events to differ materially from the forward-looking statements. Such risks include: market and other conditions, those relating to the anticipated use of proceeds, the ability of Edesa to obtain regulatory approval for or successfully commercialize any of its product candidates, the risk that access to sufficient capital to fund Edesa’s operations may not be available or may be available on terms that are not commercially favorable to Edesa, the risk that Edesa’s product candidates may not be effective against the diseases tested in its clinical trials, the risk that Edesa fails to comply with the terms of license agreements with third parties and as a result loses the right to use key intellectual property in its business, Edesa’s ability to protect its intellectual property, the timing and success of submission, acceptance and approval of regulatory filings, and the impacts of public health crises. Many of these factors that will determine actual results are beyond the Company’s ability to control or predict. For a discussion of further risks and uncertainties related to Edesa’s business, please refer to Edesa’s reports filed with the U.S. Securities and Exchange Commission and the British Columbia Securities Commission. All forward-looking statements are made as of the date hereof and are subject to change. Except as required by law, Edesa assumes no obligation to update such statements.</w:t>
      </w:r>
    </w:p>
    <w:p>
      <w:pPr>
        <w:pStyle w:val="TextBody"/>
        <w:bidi w:val="0"/>
        <w:jc w:val="both"/>
        <w:rPr/>
      </w:pPr>
      <w:r>
        <w:rPr>
          <w:rStyle w:val="StrongEmphasis"/>
        </w:rPr>
        <w:t>Contact:</w:t>
      </w:r>
    </w:p>
    <w:p>
      <w:pPr>
        <w:pStyle w:val="TextBody"/>
        <w:bidi w:val="0"/>
        <w:jc w:val="both"/>
        <w:rPr/>
      </w:pPr>
      <w:r>
        <w:rPr/>
        <w:t>Gary Koppenjan</w:t>
        <w:br/>
        <w:t>Edesa Biotech, Inc.</w:t>
        <w:br/>
        <w:t>investors@edesabiotech.com</w:t>
      </w:r>
    </w:p>
    <w:p>
      <w:pPr>
        <w:pStyle w:val="TextBody"/>
        <w:bidi w:val="0"/>
        <w:jc w:val="right"/>
        <w:rPr/>
      </w:pPr>
      <w:bookmarkStart w:id="34" w:name="exh_992.htm"/>
      <w:bookmarkStart w:id="35" w:name="ksexh_992"/>
      <w:bookmarkEnd w:id="34"/>
      <w:bookmarkEnd w:id="35"/>
      <w:r>
        <w:rPr>
          <w:rStyle w:val="StrongEmphasis"/>
        </w:rPr>
        <w:t>EXHIBIT 99.2</w:t>
      </w:r>
      <w:r>
        <w:br w:type="page"/>
      </w:r>
    </w:p>
    <w:p>
      <w:pPr>
        <w:pStyle w:val="TextBody"/>
        <w:bidi w:val="0"/>
        <w:jc w:val="center"/>
        <w:rPr/>
      </w:pPr>
      <w:r>
        <w:rPr>
          <w:rStyle w:val="StrongEmphasis"/>
          <w:sz w:val="28"/>
        </w:rPr>
        <w:t>Edesa Biotech Announces Pricing of $25.0 Million Public Offering</w:t>
      </w:r>
    </w:p>
    <w:p>
      <w:pPr>
        <w:pStyle w:val="TextBody"/>
        <w:bidi w:val="0"/>
        <w:jc w:val="both"/>
        <w:rPr/>
      </w:pPr>
      <w:r>
        <w:rPr/>
        <w:t>TORONTO, Aug. 19, 2026 (GLOBE NEWSWIRE) -- Edesa Biotech, Inc. (Nasdaq: EDSA) (the “Company” or “Edesa”), a clinical-stage biopharmaceutical company focused on developing host-directed therapeutics for immuno-inflammatory diseases, today announced the pricing of an underwritten public offering consisting of (i) 3,870,500 common shares and accompanying common share warrants to purchase an aggregate of 3,870,500 common shares and (ii) in lieu of common shares to investors who so choose, pre-funded warrants to purchase up to 675,000 common shares and accompanying common share warrants to purchase an aggregate of 675,000 common shares, at an exercise price of $0.0001 per pre-funded warrant. Each common share and pre-funded warrant is being sold in combination with an accompanying common share warrant to purchase one common share. The common share warrants will have an exercise price of $7.50 per share, will be immediately exercisable from the date of issuance and will expire on the earlier of (x) the 18-month anniversary of the original issuance date and (y) 30 days following the Company’s public announcement of Phase 2 vitiligo topline data for EB06. The combined public offering price of each common share and accompanying common share warrant is $5.50. The combined public offering price of each pre-funded warrant and accompanying common share warrant is $5.4999, which represents the combined public offering price for the common shares and accompanying common share warrants less the $0.0001 per share exercise price for each pre-funded warrant. The gross proceeds are expected to be approximately $25.0 million, before deducting underwriting discounts and commissions and other estimated offering expenses. In addition, Edesa has granted the underwriters a 30-day option to purchase up to an additional 681,825 common shares and accompanying common share warrants to purchase up to 681,825 common shares at the public offering price, less underwriting discounts and commissions.</w:t>
      </w:r>
    </w:p>
    <w:p>
      <w:pPr>
        <w:pStyle w:val="TextBody"/>
        <w:bidi w:val="0"/>
        <w:jc w:val="both"/>
        <w:rPr/>
      </w:pPr>
      <w:r>
        <w:rPr/>
        <w:t>All common shares, pre-funded warrants and accompanying common share warrants are being offered by Edesa. The offering is expected to close on or about August 21, 2026, subject to the satisfaction of customary closing conditions.</w:t>
      </w:r>
    </w:p>
    <w:p>
      <w:pPr>
        <w:pStyle w:val="TextBody"/>
        <w:bidi w:val="0"/>
        <w:jc w:val="both"/>
        <w:rPr/>
      </w:pPr>
      <w:r>
        <w:rPr/>
        <w:t>Guggenheim Securities is acting as the sole book-running manager for the offering.</w:t>
      </w:r>
    </w:p>
    <w:p>
      <w:pPr>
        <w:pStyle w:val="TextBody"/>
        <w:bidi w:val="0"/>
        <w:jc w:val="both"/>
        <w:rPr/>
      </w:pPr>
      <w:r>
        <w:rPr/>
        <w:t>Edesa intends to use the net proceeds from the offering for general corporate purposes, which may include working capital, capital expenditures and research and development and manufacturing expenses.</w:t>
      </w:r>
    </w:p>
    <w:p>
      <w:pPr>
        <w:pStyle w:val="TextBody"/>
        <w:bidi w:val="0"/>
        <w:jc w:val="both"/>
        <w:rPr/>
      </w:pPr>
      <w:r>
        <w:rPr/>
        <w:t>The offering is being made pursuant to a shelf registration statement on Form S-3 (File No. 333-288966), including a base prospectus, that was declared effective by the Securities and Exchange Commission (“SEC”) on September 9, 2025. A preliminary prospectus supplement and accompanying prospectus relating to the offering have been filed with the SEC and a final prospectus supplement with the final terms of the offering will be filed with the SEC and will be available for free on the SEC’s website, located at www.sec.gov. Copies of the final prospectus supplement and the accompanying prospectus relating to the offering may be obtained, when available, from Guggenheim Securities, LLC, Attention: Equity Syndicate Department, 330 Madison Avenue, 8th Floor, New York, NY 10017, or by telephone at (212) 518-9544, or by email at GSEquityProspectusDelivery@guggenheimpartners.com.</w:t>
      </w:r>
    </w:p>
    <w:p>
      <w:pPr>
        <w:pStyle w:val="TextBody"/>
        <w:bidi w:val="0"/>
        <w:jc w:val="both"/>
        <w:rPr/>
      </w:pPr>
      <w:r>
        <w:rPr/>
        <w:t>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pStyle w:val="TextBody"/>
        <w:bidi w:val="0"/>
        <w:jc w:val="both"/>
        <w:rPr/>
      </w:pPr>
      <w:r>
        <w:rPr>
          <w:rStyle w:val="StrongEmphasis"/>
        </w:rPr>
        <w:t>About Edesa Biotech, Inc.</w:t>
      </w:r>
    </w:p>
    <w:p>
      <w:pPr>
        <w:pStyle w:val="TextBody"/>
        <w:bidi w:val="0"/>
        <w:jc w:val="both"/>
        <w:rPr/>
      </w:pPr>
      <w:r>
        <w:rPr/>
        <w:t>Edesa Biotech, Inc. (Nasdaq: EDSA) is a clinical-stage biopharmaceutical company developing innovative ways to treat inflammatory and immune-related diseases. Its clinical pipeline is focused on two therapeutic areas: Medical Dermatology and Respiratory. In Medical Dermatology, Edesa is developing EB06, an anti-CXCL10 monoclonal antibody candidate, as a therapy for vitiligo, a common autoimmune disorder that causes skin to lose its color in patches. Its medical dermatology assets also include EB01 (1.0% daniluromer cream), a Phase 3-ready asset developed for use as a potential therapy for moderate-to-severe chronic Allergic Contact Dermatitis (ACD), a common occupational skin condition. The Company’s most advanced Respiratory drug candidate is paridiprubart, which is being developed as a potential treatment for Acute Respiratory Distress Syndrome, a life-threatening form of respiratory failure. The paridiprubart program has been the recipient of two funding awards from the Government of Canada to support the further development of this asset, and is currently being evaluated in a U.S. government-funded platform study. Edesa is also pursuing additional uses for paridiprubart.</w:t>
      </w:r>
    </w:p>
    <w:p>
      <w:pPr>
        <w:pStyle w:val="TextBody"/>
        <w:bidi w:val="0"/>
        <w:jc w:val="both"/>
        <w:rPr/>
      </w:pPr>
      <w:r>
        <w:rPr>
          <w:rStyle w:val="StrongEmphasis"/>
        </w:rPr>
        <w:t>Forward-Looking Statements</w:t>
      </w:r>
    </w:p>
    <w:p>
      <w:pPr>
        <w:pStyle w:val="TextBody"/>
        <w:bidi w:val="0"/>
        <w:jc w:val="both"/>
        <w:rPr/>
      </w:pPr>
      <w:r>
        <w:rPr>
          <w:rStyle w:val="Emphasis"/>
        </w:rPr>
        <w:t>This press release may contain forward-looking statements within the meaning of Section 27A of the Securities Act of 1933, as amended, and Section 21E of the Securities Exchange Act of 1934, as amended. Forward-looking statements may be identified by the use of words such as “anticipate,” “believe,” “plan,” “estimate,” “expect,” “intend,” “may,” “will,” “would,” “could,” “should,” “might,” “potential,” or “continue” and variations or similar expressions, including statements regarding the Company’s expectations regarding the satisfaction of customary closing conditions related to the offering, the expected closing of the offering and the anticipated use of proceeds therefrom. Readers should not unduly rely on these forward-looking statements, which are not a guarantee of future performance. There can be no assurance that forward-looking statements will prove to be accurate, as all such forward-looking statements involve known and unknown risks, uncertainties and other factors which may cause actual results or future events to differ materially from the forward-looking statements. Such risks include: market and other conditions, those relating to the anticipated use of proceeds, the ability of Edesa to obtain regulatory approval for or successfully commercialize any of its product candidates, the risk that access to sufficient capital to fund Edesa’s operations may not be available or may be available on terms that are not commercially favorable to Edesa, the risk that Edesa’s product candidates may not be effective against the diseases tested in its clinical trials, the risk that Edesa fails to comply with the terms of license agreements with third parties and as a result loses the right to use key intellectual property in its business, Edesa’s ability to protect its intellectual property, the timing and success of submission, acceptance and approval of regulatory filings, and the impacts of public health crises. Many of these factors that will determine actual results are beyond the Company’s ability to control or predict. For a discussion of further risks and uncertainties related to Edesa’s business, please refer to Edesa’s reports filed with the U.S. Securities and Exchange Commission and the British Columbia Securities Commission. All forward-looking statements are made as of the date hereof and are subject to change. Except as required by law, Edesa assumes no obligation to update such statements.</w:t>
      </w:r>
    </w:p>
    <w:p>
      <w:pPr>
        <w:pStyle w:val="TextBody"/>
        <w:bidi w:val="0"/>
        <w:jc w:val="both"/>
        <w:rPr/>
      </w:pPr>
      <w:r>
        <w:rPr>
          <w:rStyle w:val="StrongEmphasis"/>
        </w:rPr>
        <w:t>Contact:</w:t>
      </w:r>
    </w:p>
    <w:p>
      <w:pPr>
        <w:pStyle w:val="TextBody"/>
        <w:bidi w:val="0"/>
        <w:spacing w:before="0" w:after="283"/>
        <w:jc w:val="both"/>
        <w:rPr/>
      </w:pPr>
      <w:r>
        <w:rPr/>
        <w:t>Gary Koppenjan</w:t>
        <w:br/>
        <w:t>Edesa Biotech, Inc.</w:t>
        <w:br/>
        <w:t>investors@edesabiotech.com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49489</Words>
  <Characters>263276</Characters>
  <CharactersWithSpaces>315376</CharactersWithSpaces>
  <Paragraphs>1791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